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EED" w:rsidRDefault="009C1EED">
      <w:pPr>
        <w:pStyle w:val="Balk1"/>
        <w:spacing w:after="240"/>
        <w:rPr>
          <w:rFonts w:cs="Times New Roman"/>
          <w:szCs w:val="24"/>
        </w:rPr>
      </w:pPr>
    </w:p>
    <w:p w:rsidR="009C1EED" w:rsidRDefault="009C1EED">
      <w:pPr>
        <w:pStyle w:val="Balk1"/>
        <w:spacing w:after="240"/>
        <w:rPr>
          <w:rFonts w:cs="Times New Roman"/>
          <w:szCs w:val="24"/>
        </w:rPr>
      </w:pPr>
    </w:p>
    <w:p w:rsidR="009C1EED" w:rsidRDefault="009C1EED">
      <w:pPr>
        <w:pStyle w:val="Balk1"/>
        <w:spacing w:after="240"/>
        <w:rPr>
          <w:rFonts w:cs="Times New Roman"/>
          <w:szCs w:val="24"/>
        </w:rPr>
      </w:pPr>
    </w:p>
    <w:p w:rsidR="00697CF5" w:rsidRDefault="00FF45A3">
      <w:pPr>
        <w:pStyle w:val="Balk1"/>
        <w:spacing w:after="240"/>
        <w:rPr>
          <w:rFonts w:cs="Times New Roman"/>
          <w:szCs w:val="24"/>
        </w:rPr>
      </w:pPr>
      <w:r>
        <w:rPr>
          <w:rFonts w:cs="Times New Roman"/>
          <w:szCs w:val="24"/>
        </w:rPr>
        <w:t>KURUL KARARI</w:t>
      </w:r>
    </w:p>
    <w:p w:rsidR="00697CF5" w:rsidRDefault="00697CF5">
      <w:pPr>
        <w:spacing w:after="240"/>
      </w:pPr>
    </w:p>
    <w:p w:rsidR="00697CF5" w:rsidRDefault="00FF45A3">
      <w:pPr>
        <w:spacing w:after="240"/>
        <w:ind w:firstLine="709"/>
      </w:pPr>
      <w:r>
        <w:rPr>
          <w:b/>
        </w:rPr>
        <w:t xml:space="preserve">Karar </w:t>
      </w:r>
      <w:proofErr w:type="gramStart"/>
      <w:r>
        <w:rPr>
          <w:b/>
        </w:rPr>
        <w:t>No:</w:t>
      </w:r>
      <w:r>
        <w:t xml:space="preserve"> ….</w:t>
      </w:r>
      <w:proofErr w:type="gramEnd"/>
      <w:r>
        <w:t>.</w:t>
      </w:r>
      <w:r>
        <w:tab/>
      </w:r>
      <w:r>
        <w:tab/>
      </w:r>
      <w:r>
        <w:tab/>
      </w:r>
      <w:r>
        <w:tab/>
      </w:r>
      <w:r>
        <w:tab/>
      </w:r>
      <w:r>
        <w:tab/>
      </w:r>
      <w:r>
        <w:tab/>
      </w:r>
      <w:r>
        <w:rPr>
          <w:b/>
        </w:rPr>
        <w:t>Karar Tarihi</w:t>
      </w:r>
      <w:r>
        <w:t xml:space="preserve">:    </w:t>
      </w:r>
    </w:p>
    <w:p w:rsidR="00697CF5" w:rsidRDefault="00697CF5">
      <w:pPr>
        <w:spacing w:after="240"/>
      </w:pPr>
    </w:p>
    <w:p w:rsidR="00697CF5" w:rsidRDefault="00FF45A3">
      <w:pPr>
        <w:spacing w:after="240"/>
      </w:pPr>
      <w:r>
        <w:t>95 sayılı Nükleer Düzenleme Kurumunun Teşkilat ve Görevleri Hakkında Cumhurbaşkanlığı Kararnamesinin 9 uncu maddesinin birinci fıkrasının (a) bendine istinaden;</w:t>
      </w:r>
    </w:p>
    <w:p w:rsidR="00697CF5" w:rsidRDefault="00FF45A3">
      <w:pPr>
        <w:spacing w:after="240"/>
      </w:pPr>
      <w:r>
        <w:t xml:space="preserve">Nükleer tesislere ilişkin faaliyetlerde kullanılacak her türlü metal, alaşım, döküm, dövme ve kaynak yüzeylerine yönelik gerçekleştirilen gözle muayene uygulamalarının kalite, güvenlik ve uygunluğunun sağlanmasına yönelik gerekliliklerin 95 sayılı Cumhurbaşkanlığı Kararnamesinin </w:t>
      </w:r>
      <w:r>
        <w:rPr>
          <w:color w:val="000000" w:themeColor="text1"/>
        </w:rPr>
        <w:t xml:space="preserve">4 üncü maddesinin birinci fıkrasının (ğ) </w:t>
      </w:r>
      <w:r>
        <w:t xml:space="preserve">ve 5 inci maddesinin birinci fıkrasının (b) bendine dayanılarak hazırlanan ve </w:t>
      </w:r>
      <w:proofErr w:type="spellStart"/>
      <w:r>
        <w:t>Ek’te</w:t>
      </w:r>
      <w:proofErr w:type="spellEnd"/>
      <w:r>
        <w:t xml:space="preserve"> yer alan Nükleer Tesisler İçin Gözle Muayene Uygulamalarına İlişkin Karar uyarınca belirlenmesine karar verilmiştir.</w:t>
      </w:r>
    </w:p>
    <w:p w:rsidR="00697CF5" w:rsidRDefault="00697CF5">
      <w:pPr>
        <w:spacing w:after="240"/>
      </w:pPr>
    </w:p>
    <w:p w:rsidR="00697CF5" w:rsidRDefault="00FF45A3">
      <w:pPr>
        <w:spacing w:after="240"/>
        <w:ind w:firstLine="0"/>
        <w:jc w:val="left"/>
      </w:pPr>
      <w:r>
        <w:br w:type="page"/>
      </w:r>
    </w:p>
    <w:p w:rsidR="00697CF5" w:rsidRDefault="00FF45A3">
      <w:pPr>
        <w:spacing w:after="240"/>
        <w:ind w:firstLine="0"/>
        <w:jc w:val="center"/>
        <w:rPr>
          <w:b/>
        </w:rPr>
      </w:pPr>
      <w:r>
        <w:rPr>
          <w:b/>
        </w:rPr>
        <w:lastRenderedPageBreak/>
        <w:t>NÜKLEER TESİSLER İÇİN GÖZLE MUAYENE UYGULAMALARINA İLİŞKİN KARAR TASLAĞI</w:t>
      </w:r>
    </w:p>
    <w:p w:rsidR="00697CF5" w:rsidRDefault="00FF45A3" w:rsidP="001259B9">
      <w:pPr>
        <w:pStyle w:val="Balk2"/>
        <w:spacing w:before="240"/>
        <w:ind w:left="0" w:firstLine="0"/>
      </w:pPr>
      <w:r>
        <w:t xml:space="preserve"> TANIMLAR</w:t>
      </w:r>
    </w:p>
    <w:p w:rsidR="00697CF5" w:rsidRDefault="00FF45A3">
      <w:pPr>
        <w:spacing w:after="240"/>
        <w:ind w:firstLine="0"/>
      </w:pPr>
      <w:r>
        <w:t>Bu Kararda geçen;</w:t>
      </w:r>
    </w:p>
    <w:p w:rsidR="00697CF5" w:rsidRDefault="00FF45A3">
      <w:pPr>
        <w:pStyle w:val="ListeParagraf"/>
        <w:numPr>
          <w:ilvl w:val="0"/>
          <w:numId w:val="2"/>
        </w:numPr>
        <w:tabs>
          <w:tab w:val="left" w:pos="709"/>
        </w:tabs>
        <w:spacing w:after="240"/>
        <w:ind w:left="720" w:hanging="360"/>
        <w:rPr>
          <w:b/>
        </w:rPr>
      </w:pPr>
      <w:proofErr w:type="spellStart"/>
      <w:r>
        <w:rPr>
          <w:b/>
        </w:rPr>
        <w:t>Boroskop</w:t>
      </w:r>
      <w:proofErr w:type="spellEnd"/>
      <w:r>
        <w:rPr>
          <w:b/>
        </w:rPr>
        <w:t xml:space="preserve">: </w:t>
      </w:r>
      <w:r>
        <w:t>Bir kamera ve ışık kaynağından oluşan, özellikle boruların içi veya kapalı alanlar gibi ulaşılması zor veya dar alanlarda yapılan görsel incelemeler için kullanılan teçhizatı,</w:t>
      </w:r>
    </w:p>
    <w:p w:rsidR="00697CF5" w:rsidRDefault="00FF45A3">
      <w:pPr>
        <w:pStyle w:val="ListeParagraf"/>
        <w:numPr>
          <w:ilvl w:val="0"/>
          <w:numId w:val="2"/>
        </w:numPr>
        <w:tabs>
          <w:tab w:val="left" w:pos="709"/>
        </w:tabs>
        <w:spacing w:after="240"/>
        <w:ind w:left="720" w:hanging="360"/>
        <w:rPr>
          <w:b/>
        </w:rPr>
      </w:pPr>
      <w:r>
        <w:rPr>
          <w:b/>
        </w:rPr>
        <w:t xml:space="preserve">Büyüteç: </w:t>
      </w:r>
      <w:r>
        <w:t>Gözlemi yapılan nesnenin yüzeyindeki küçük detayları büyütüp netleştirerek incelemeye olanak sağlayan aleti,</w:t>
      </w:r>
    </w:p>
    <w:p w:rsidR="00697CF5" w:rsidRPr="00B37165" w:rsidRDefault="00FF45A3">
      <w:pPr>
        <w:pStyle w:val="ListeParagraf"/>
        <w:numPr>
          <w:ilvl w:val="0"/>
          <w:numId w:val="2"/>
        </w:numPr>
        <w:tabs>
          <w:tab w:val="left" w:pos="709"/>
        </w:tabs>
        <w:spacing w:after="240"/>
        <w:ind w:left="720" w:hanging="360"/>
        <w:rPr>
          <w:b/>
        </w:rPr>
      </w:pPr>
      <w:r>
        <w:rPr>
          <w:b/>
        </w:rPr>
        <w:t xml:space="preserve">Doğrudan gözle muayene: </w:t>
      </w:r>
      <w:r>
        <w:t>Gözlemcinin gözü ile muayene alanı arasında kesintisiz bir optik yolun bulunduğu muayene yöntemini,</w:t>
      </w:r>
    </w:p>
    <w:p w:rsidR="00B37165" w:rsidRDefault="00B37165" w:rsidP="00B37165">
      <w:pPr>
        <w:pStyle w:val="ListeParagraf"/>
        <w:numPr>
          <w:ilvl w:val="0"/>
          <w:numId w:val="2"/>
        </w:numPr>
        <w:tabs>
          <w:tab w:val="left" w:pos="709"/>
        </w:tabs>
        <w:spacing w:after="240"/>
        <w:ind w:left="720" w:hanging="360"/>
        <w:rPr>
          <w:b/>
        </w:rPr>
      </w:pPr>
      <w:r>
        <w:rPr>
          <w:b/>
        </w:rPr>
        <w:t xml:space="preserve">Dolaylı gözle muayene: </w:t>
      </w:r>
      <w:r>
        <w:t>Bir bileşenin veya yüzeyin doğrudan gözlemlenmesinin mümkün olmadığı durumlarda, özel teçhizat (</w:t>
      </w:r>
      <w:proofErr w:type="spellStart"/>
      <w:r>
        <w:t>boroskop</w:t>
      </w:r>
      <w:proofErr w:type="spellEnd"/>
      <w:r>
        <w:t>, kamera sistemleri, vb.) kullanılarak gerçekleştirilen muayene yöntemini,</w:t>
      </w:r>
    </w:p>
    <w:p w:rsidR="00697CF5" w:rsidRDefault="00FF45A3">
      <w:pPr>
        <w:pStyle w:val="ListeParagraf"/>
        <w:numPr>
          <w:ilvl w:val="0"/>
          <w:numId w:val="2"/>
        </w:numPr>
        <w:tabs>
          <w:tab w:val="left" w:pos="709"/>
        </w:tabs>
        <w:spacing w:after="240"/>
        <w:ind w:left="720" w:hanging="360"/>
        <w:rPr>
          <w:b/>
        </w:rPr>
      </w:pPr>
      <w:r>
        <w:rPr>
          <w:b/>
        </w:rPr>
        <w:t xml:space="preserve">Görüş açısı: </w:t>
      </w:r>
      <w:r>
        <w:t>Muayene edilecek veya görüntülenecek yüzey ile gözlem noktası arasındaki açıyı,</w:t>
      </w:r>
    </w:p>
    <w:p w:rsidR="00697CF5" w:rsidRDefault="00FF45A3">
      <w:pPr>
        <w:pStyle w:val="ListeParagraf"/>
        <w:numPr>
          <w:ilvl w:val="0"/>
          <w:numId w:val="2"/>
        </w:numPr>
        <w:tabs>
          <w:tab w:val="left" w:pos="709"/>
        </w:tabs>
        <w:spacing w:after="240"/>
        <w:ind w:left="720" w:hanging="360"/>
        <w:rPr>
          <w:b/>
        </w:rPr>
      </w:pPr>
      <w:r>
        <w:rPr>
          <w:b/>
        </w:rPr>
        <w:t xml:space="preserve">Gözle muayene: </w:t>
      </w:r>
      <w:r>
        <w:t>Bir nesnenin veya bileşenin yüzeyinde yer alan hatalar, çatlaklar, deformasyonlar veya bozulmaların tespit edilmesi amacıyla yüzeyin malzemeye herhangi bir zarar verilmeden gözle yapılan inceleme işlemini,</w:t>
      </w:r>
    </w:p>
    <w:p w:rsidR="00697CF5" w:rsidRDefault="00FF45A3">
      <w:pPr>
        <w:pStyle w:val="ListeParagraf"/>
        <w:numPr>
          <w:ilvl w:val="0"/>
          <w:numId w:val="2"/>
        </w:numPr>
        <w:tabs>
          <w:tab w:val="left" w:pos="709"/>
        </w:tabs>
        <w:spacing w:after="240"/>
        <w:ind w:left="720" w:hanging="360"/>
      </w:pPr>
      <w:r>
        <w:rPr>
          <w:b/>
        </w:rPr>
        <w:t>Hata:</w:t>
      </w:r>
      <w:r>
        <w:t xml:space="preserve"> Toplam boyutu, şekli, yönü, konumu veya özellikleri belirtilen kabul kriterlerini karşılamayan ve reddedilebilir olan bir veya daha fazla kusuru,</w:t>
      </w:r>
    </w:p>
    <w:p w:rsidR="00697CF5" w:rsidRDefault="00FF45A3">
      <w:pPr>
        <w:pStyle w:val="ListeParagraf"/>
        <w:numPr>
          <w:ilvl w:val="0"/>
          <w:numId w:val="2"/>
        </w:numPr>
        <w:tabs>
          <w:tab w:val="left" w:pos="709"/>
        </w:tabs>
        <w:spacing w:after="240"/>
        <w:ind w:left="720" w:hanging="360"/>
      </w:pPr>
      <w:r>
        <w:rPr>
          <w:b/>
        </w:rPr>
        <w:t>Kuruluş:</w:t>
      </w:r>
      <w:r>
        <w:t xml:space="preserve"> Bir nükleer tesis kurmak, işletmek veya işletmeden çıkarmak için Kuruma niyet bildiriminde bulunan, onay almak veya yetkilendirilmek üzere başvuran ya da yetkilendirilen ve düzenleyici kontrol kapsamında bulunan Türkiye Cumhuriyeti mevzuatına göre kurulmuş tüzel kişiyi,</w:t>
      </w:r>
    </w:p>
    <w:p w:rsidR="00697CF5" w:rsidRDefault="00FF45A3">
      <w:pPr>
        <w:pStyle w:val="ListeParagraf"/>
        <w:numPr>
          <w:ilvl w:val="0"/>
          <w:numId w:val="2"/>
        </w:numPr>
        <w:tabs>
          <w:tab w:val="left" w:pos="709"/>
        </w:tabs>
        <w:spacing w:after="240"/>
        <w:ind w:left="720" w:hanging="360"/>
      </w:pPr>
      <w:r>
        <w:rPr>
          <w:b/>
        </w:rPr>
        <w:t>Kurum:</w:t>
      </w:r>
      <w:r>
        <w:t xml:space="preserve"> Nükleer Düzenleme Kurumunu,</w:t>
      </w:r>
    </w:p>
    <w:p w:rsidR="00697CF5" w:rsidRDefault="00FF45A3">
      <w:pPr>
        <w:pStyle w:val="ListeParagraf"/>
        <w:numPr>
          <w:ilvl w:val="0"/>
          <w:numId w:val="2"/>
        </w:numPr>
        <w:tabs>
          <w:tab w:val="left" w:pos="709"/>
        </w:tabs>
        <w:spacing w:after="240"/>
        <w:ind w:left="720" w:hanging="360"/>
      </w:pPr>
      <w:r>
        <w:rPr>
          <w:b/>
        </w:rPr>
        <w:t>Kusur:</w:t>
      </w:r>
      <w:r>
        <w:t xml:space="preserve"> Tahribatsız muayene ile tespit edilebilen ve reddedilmesi gerekmeyen bozukluk veya süreksizliği,</w:t>
      </w:r>
    </w:p>
    <w:p w:rsidR="00697CF5" w:rsidRDefault="00FF45A3">
      <w:pPr>
        <w:pStyle w:val="ListeParagraf"/>
        <w:numPr>
          <w:ilvl w:val="0"/>
          <w:numId w:val="2"/>
        </w:numPr>
        <w:tabs>
          <w:tab w:val="left" w:pos="709"/>
        </w:tabs>
        <w:spacing w:after="240"/>
        <w:ind w:left="720" w:hanging="360"/>
        <w:rPr>
          <w:b/>
        </w:rPr>
      </w:pPr>
      <w:r>
        <w:rPr>
          <w:b/>
        </w:rPr>
        <w:t xml:space="preserve">Lüksmetre: </w:t>
      </w:r>
      <w:r>
        <w:t>Gözle muayene ortamlarında ışık şiddetini ölçmek amacıyla kullanılan teçhizatı,</w:t>
      </w:r>
    </w:p>
    <w:p w:rsidR="00697CF5" w:rsidRDefault="00FF45A3">
      <w:pPr>
        <w:pStyle w:val="ListeParagraf"/>
        <w:numPr>
          <w:ilvl w:val="0"/>
          <w:numId w:val="2"/>
        </w:numPr>
        <w:tabs>
          <w:tab w:val="left" w:pos="709"/>
        </w:tabs>
        <w:spacing w:after="240"/>
        <w:ind w:left="720" w:hanging="360"/>
        <w:rPr>
          <w:b/>
        </w:rPr>
      </w:pPr>
      <w:r>
        <w:rPr>
          <w:b/>
        </w:rPr>
        <w:t xml:space="preserve">Muayene raporu: </w:t>
      </w:r>
      <w:r>
        <w:t>Gözle muayene işleminin ardından hazırlanan, muayene edilen bileşenin durumu hakkında bilgi veren yazılı dokümanı,</w:t>
      </w:r>
    </w:p>
    <w:p w:rsidR="00697CF5" w:rsidRDefault="00FF45A3">
      <w:pPr>
        <w:pStyle w:val="ListeParagraf"/>
        <w:numPr>
          <w:ilvl w:val="0"/>
          <w:numId w:val="2"/>
        </w:numPr>
        <w:tabs>
          <w:tab w:val="left" w:pos="709"/>
        </w:tabs>
        <w:spacing w:after="240"/>
        <w:ind w:left="720" w:hanging="360"/>
        <w:rPr>
          <w:b/>
        </w:rPr>
      </w:pPr>
      <w:r>
        <w:rPr>
          <w:b/>
        </w:rPr>
        <w:t xml:space="preserve">Muayene teçhizatı: </w:t>
      </w:r>
      <w:r>
        <w:t>Gözle muayene sürecinde kullanılan araç ve gereçleri,</w:t>
      </w:r>
    </w:p>
    <w:p w:rsidR="00697CF5" w:rsidRDefault="00FF45A3">
      <w:pPr>
        <w:pStyle w:val="ListeParagraf"/>
        <w:numPr>
          <w:ilvl w:val="0"/>
          <w:numId w:val="2"/>
        </w:numPr>
        <w:tabs>
          <w:tab w:val="left" w:pos="709"/>
        </w:tabs>
        <w:spacing w:after="240"/>
        <w:ind w:left="720" w:hanging="360"/>
      </w:pPr>
      <w:r>
        <w:rPr>
          <w:b/>
        </w:rPr>
        <w:t>Süreksizlik:</w:t>
      </w:r>
      <w:r>
        <w:t xml:space="preserve"> Bir malzemenin veya bileşenin fiziksel yapısında veya konfigürasyonunda kasıtlı veya kasıtsız bir kesinti yoluyla süreklilik veya uyum eksikliği,</w:t>
      </w:r>
    </w:p>
    <w:p w:rsidR="00697CF5" w:rsidRDefault="00FF45A3">
      <w:pPr>
        <w:pStyle w:val="ListeParagraf"/>
        <w:numPr>
          <w:ilvl w:val="0"/>
          <w:numId w:val="2"/>
        </w:numPr>
        <w:tabs>
          <w:tab w:val="left" w:pos="709"/>
        </w:tabs>
        <w:spacing w:after="240"/>
        <w:ind w:left="720" w:hanging="360"/>
      </w:pPr>
      <w:r>
        <w:rPr>
          <w:b/>
        </w:rPr>
        <w:t>Tahribatsız muayene:</w:t>
      </w:r>
      <w:r>
        <w:t xml:space="preserve"> Malzemelere herhangi bir zarar vermeden malzeme yüzeyinde veya içinde meydana gelen süreksizlikleri belirlemek için kullanılan muayene yöntemlerini,</w:t>
      </w:r>
    </w:p>
    <w:p w:rsidR="00697CF5" w:rsidRDefault="00FF45A3">
      <w:pPr>
        <w:pStyle w:val="ListeParagraf"/>
        <w:numPr>
          <w:ilvl w:val="0"/>
          <w:numId w:val="2"/>
        </w:numPr>
        <w:tabs>
          <w:tab w:val="left" w:pos="709"/>
        </w:tabs>
        <w:spacing w:after="240"/>
        <w:ind w:left="720" w:hanging="360"/>
      </w:pPr>
      <w:r>
        <w:rPr>
          <w:b/>
        </w:rPr>
        <w:t>Yüzey hazırlığı:</w:t>
      </w:r>
      <w:r>
        <w:t xml:space="preserve"> Gözle muayene öncesinde, yüzeydeki kir, yağ, boya ve diğer yabancı maddelerin uzaklaştırılması işlemini,</w:t>
      </w:r>
    </w:p>
    <w:p w:rsidR="00697CF5" w:rsidRDefault="00FF45A3">
      <w:pPr>
        <w:tabs>
          <w:tab w:val="left" w:pos="709"/>
        </w:tabs>
        <w:spacing w:after="240"/>
        <w:ind w:firstLine="0"/>
      </w:pPr>
      <w:proofErr w:type="gramStart"/>
      <w:r>
        <w:t>ifade</w:t>
      </w:r>
      <w:proofErr w:type="gramEnd"/>
      <w:r>
        <w:t xml:space="preserve"> eder. </w:t>
      </w:r>
    </w:p>
    <w:p w:rsidR="00F2267A" w:rsidRDefault="00F2267A">
      <w:pPr>
        <w:tabs>
          <w:tab w:val="left" w:pos="709"/>
        </w:tabs>
        <w:spacing w:after="240"/>
        <w:ind w:firstLine="0"/>
      </w:pPr>
    </w:p>
    <w:p w:rsidR="00F2267A" w:rsidRDefault="00F2267A">
      <w:pPr>
        <w:tabs>
          <w:tab w:val="left" w:pos="709"/>
        </w:tabs>
        <w:spacing w:after="240"/>
        <w:ind w:firstLine="0"/>
      </w:pPr>
    </w:p>
    <w:p w:rsidR="00F2267A" w:rsidRDefault="00F2267A">
      <w:pPr>
        <w:tabs>
          <w:tab w:val="left" w:pos="709"/>
        </w:tabs>
        <w:spacing w:after="240"/>
        <w:ind w:firstLine="0"/>
      </w:pPr>
    </w:p>
    <w:p w:rsidR="00F2267A" w:rsidRDefault="00F2267A">
      <w:pPr>
        <w:tabs>
          <w:tab w:val="left" w:pos="709"/>
        </w:tabs>
        <w:spacing w:after="240"/>
        <w:ind w:firstLine="0"/>
      </w:pPr>
    </w:p>
    <w:p w:rsidR="00697CF5" w:rsidRDefault="00FF45A3" w:rsidP="001259B9">
      <w:pPr>
        <w:pStyle w:val="Balk2"/>
        <w:spacing w:before="240"/>
        <w:ind w:left="0" w:firstLine="0"/>
      </w:pPr>
      <w:r>
        <w:lastRenderedPageBreak/>
        <w:t xml:space="preserve"> GÖZLE MUAYENEYE İLİŞKİN GENEL HÜKÜMLER</w:t>
      </w:r>
    </w:p>
    <w:p w:rsidR="00697CF5" w:rsidRDefault="00FF45A3">
      <w:pPr>
        <w:pStyle w:val="ListeParagraf"/>
        <w:numPr>
          <w:ilvl w:val="0"/>
          <w:numId w:val="4"/>
        </w:numPr>
        <w:tabs>
          <w:tab w:val="left" w:pos="567"/>
        </w:tabs>
        <w:spacing w:line="276" w:lineRule="auto"/>
        <w:ind w:left="240" w:hanging="240"/>
      </w:pPr>
      <w:r>
        <w:t>Gözle muayeneye ilişkin bu Kararda belirlenen gerekliliklerin yerine getirilmesinde kısaltmalarıyla atıf yapılan standartların listesi Ek-1’de yer almaktadır.</w:t>
      </w:r>
    </w:p>
    <w:p w:rsidR="00697CF5" w:rsidRDefault="00FF45A3">
      <w:pPr>
        <w:pStyle w:val="ListeParagraf"/>
        <w:numPr>
          <w:ilvl w:val="0"/>
          <w:numId w:val="4"/>
        </w:numPr>
        <w:tabs>
          <w:tab w:val="left" w:pos="567"/>
        </w:tabs>
        <w:spacing w:line="276" w:lineRule="auto"/>
        <w:ind w:left="240" w:hanging="240"/>
      </w:pPr>
      <w:r>
        <w:t xml:space="preserve">Gözle muayenenin başlangıcından bitimine kadar tüm aşamaları kapsayan, kullanılan yöntem, teçhizat, malzemeler ve kabul kriterlerini belirleyen ve TS EN 13018, TS EN ISO 17637, PNAE G-7-016, GOST R 50.05.08 ve ASME BPVC Bölüm V veya bunlara eşdeğer bir standarda uyumlu olan yazılı prosedürler hazırlanır. Gözle muayene belirlenen yazılı prosedürlere ve bu prosedürlerdeki adımlara uygun olarak yapılır. </w:t>
      </w:r>
    </w:p>
    <w:p w:rsidR="00697CF5" w:rsidRDefault="00FF45A3">
      <w:pPr>
        <w:pStyle w:val="ListeParagraf"/>
        <w:numPr>
          <w:ilvl w:val="0"/>
          <w:numId w:val="4"/>
        </w:numPr>
        <w:tabs>
          <w:tab w:val="left" w:pos="567"/>
        </w:tabs>
        <w:spacing w:line="276" w:lineRule="auto"/>
        <w:ind w:left="240" w:hanging="240"/>
      </w:pPr>
      <w:r>
        <w:t xml:space="preserve">Gözle muayenelerde uygun kalite seviyesine sahip ve her türlü muayene koşuluna dayanıklı teçhizat kullanılır. </w:t>
      </w:r>
      <w:bookmarkStart w:id="0" w:name="__DdeLink__601_308541389"/>
      <w:r>
        <w:t>Teçhizatlar kalibrasyona tabi tutulur ve çalışabilirlikleri her muayene öncesi kontrol edilir.</w:t>
      </w:r>
      <w:bookmarkEnd w:id="0"/>
    </w:p>
    <w:p w:rsidR="00697CF5" w:rsidRDefault="00FF45A3">
      <w:pPr>
        <w:pStyle w:val="ListeParagraf"/>
        <w:numPr>
          <w:ilvl w:val="0"/>
          <w:numId w:val="4"/>
        </w:numPr>
        <w:tabs>
          <w:tab w:val="left" w:pos="567"/>
        </w:tabs>
        <w:spacing w:line="276" w:lineRule="auto"/>
        <w:ind w:left="240" w:hanging="240"/>
      </w:pPr>
      <w:r>
        <w:t>Gözle muayenesinden önce, muayene edilecek yüzey temiz ve kuru hâle getirilir.</w:t>
      </w:r>
    </w:p>
    <w:p w:rsidR="00C85769" w:rsidRDefault="00FF45A3">
      <w:pPr>
        <w:pStyle w:val="ListeParagraf"/>
        <w:numPr>
          <w:ilvl w:val="0"/>
          <w:numId w:val="4"/>
        </w:numPr>
        <w:tabs>
          <w:tab w:val="left" w:pos="567"/>
        </w:tabs>
        <w:spacing w:line="276" w:lineRule="auto"/>
        <w:ind w:left="240" w:hanging="240"/>
      </w:pPr>
      <w:r>
        <w:t xml:space="preserve">Gözle muayene sırasında çevresel faktörler ve çalışma ortamı, testin yapılacağı yüzeyin türüne ve test koşullarına uygun </w:t>
      </w:r>
      <w:r w:rsidR="00C85769">
        <w:t>olması sağlanır</w:t>
      </w:r>
      <w:r>
        <w:t xml:space="preserve">. </w:t>
      </w:r>
    </w:p>
    <w:p w:rsidR="00697CF5" w:rsidRDefault="00FF45A3">
      <w:pPr>
        <w:pStyle w:val="ListeParagraf"/>
        <w:numPr>
          <w:ilvl w:val="0"/>
          <w:numId w:val="4"/>
        </w:numPr>
        <w:tabs>
          <w:tab w:val="left" w:pos="567"/>
        </w:tabs>
        <w:spacing w:line="276" w:lineRule="auto"/>
        <w:ind w:left="240" w:hanging="240"/>
      </w:pPr>
      <w:r>
        <w:t xml:space="preserve">Gözle muayenesinin yapılacağı ortamda iş sağlığı ve güvenliği ile ilgili düzenlemelere ve sağlık standartlarına uygun güvenlik önlemleri </w:t>
      </w:r>
      <w:r w:rsidR="00D01E34">
        <w:t>alması sağlanır</w:t>
      </w:r>
      <w:r>
        <w:t>.</w:t>
      </w:r>
    </w:p>
    <w:p w:rsidR="00697CF5" w:rsidRDefault="00FF45A3" w:rsidP="001259B9">
      <w:pPr>
        <w:pStyle w:val="Balk2"/>
        <w:spacing w:before="240"/>
        <w:ind w:left="0" w:firstLine="0"/>
      </w:pPr>
      <w:r>
        <w:t xml:space="preserve"> PERSONEL YETERLİĞİ</w:t>
      </w:r>
    </w:p>
    <w:p w:rsidR="00697CF5" w:rsidRDefault="00FF45A3">
      <w:pPr>
        <w:pStyle w:val="ListeParagraf"/>
        <w:numPr>
          <w:ilvl w:val="0"/>
          <w:numId w:val="4"/>
        </w:numPr>
        <w:tabs>
          <w:tab w:val="left" w:pos="567"/>
        </w:tabs>
        <w:spacing w:line="276" w:lineRule="auto"/>
        <w:ind w:left="240" w:hanging="240"/>
      </w:pPr>
      <w:r>
        <w:t>Muayenenin uygun eğitim ve sertifikasyona sahip personel tarafından gerçekleştirilmesi sağlanır.</w:t>
      </w:r>
    </w:p>
    <w:p w:rsidR="00697CF5" w:rsidRDefault="00FF45A3">
      <w:pPr>
        <w:pStyle w:val="ListeParagraf"/>
        <w:numPr>
          <w:ilvl w:val="0"/>
          <w:numId w:val="4"/>
        </w:numPr>
        <w:tabs>
          <w:tab w:val="left" w:pos="567"/>
        </w:tabs>
        <w:spacing w:line="276" w:lineRule="auto"/>
        <w:ind w:left="240" w:hanging="240"/>
      </w:pPr>
      <w:r>
        <w:t>Gözle muayene personeli, TS EN ISO 9712, GOST R 50.05.11, SNT-TC-1A veya bunlara eşdeğer bir standarda uygun olarak;</w:t>
      </w:r>
    </w:p>
    <w:p w:rsidR="00697CF5" w:rsidRDefault="00FF45A3">
      <w:pPr>
        <w:pStyle w:val="ListeParagraf"/>
        <w:numPr>
          <w:ilvl w:val="0"/>
          <w:numId w:val="3"/>
        </w:numPr>
        <w:tabs>
          <w:tab w:val="left" w:pos="709"/>
        </w:tabs>
        <w:spacing w:after="240"/>
      </w:pPr>
      <w:r>
        <w:t xml:space="preserve">Gözle muayene uygulaması için seviye 1, 2 veya 3, </w:t>
      </w:r>
    </w:p>
    <w:p w:rsidR="00697CF5" w:rsidRDefault="00FF45A3">
      <w:pPr>
        <w:pStyle w:val="ListeParagraf"/>
        <w:numPr>
          <w:ilvl w:val="0"/>
          <w:numId w:val="3"/>
        </w:numPr>
        <w:tabs>
          <w:tab w:val="left" w:pos="709"/>
        </w:tabs>
        <w:spacing w:after="240"/>
      </w:pPr>
      <w:r>
        <w:t>Muayene değerlendirmesi için seviye 2 veya 3,</w:t>
      </w:r>
    </w:p>
    <w:p w:rsidR="00697CF5" w:rsidRDefault="00FF45A3">
      <w:pPr>
        <w:pStyle w:val="ListeParagraf"/>
        <w:numPr>
          <w:ilvl w:val="0"/>
          <w:numId w:val="3"/>
        </w:numPr>
        <w:tabs>
          <w:tab w:val="left" w:pos="709"/>
        </w:tabs>
        <w:spacing w:after="240"/>
      </w:pPr>
      <w:r>
        <w:t xml:space="preserve">Prosedür-eğitim için seviye 3 </w:t>
      </w:r>
    </w:p>
    <w:p w:rsidR="00697CF5" w:rsidRDefault="00FF45A3">
      <w:pPr>
        <w:tabs>
          <w:tab w:val="left" w:pos="709"/>
        </w:tabs>
        <w:spacing w:after="240"/>
        <w:ind w:left="284" w:firstLine="0"/>
      </w:pPr>
      <w:proofErr w:type="gramStart"/>
      <w:r>
        <w:t>seviyelerini</w:t>
      </w:r>
      <w:proofErr w:type="gramEnd"/>
      <w:r>
        <w:t xml:space="preserve"> kapsayan sertifikasyona sahip olan personel arasından seçilir. Personel, muayene prosedürleri ve teçhizat kullanımı konusunda hazırlık eğitiminden geçirilir.</w:t>
      </w:r>
    </w:p>
    <w:p w:rsidR="00697CF5" w:rsidRDefault="00FF45A3">
      <w:pPr>
        <w:pStyle w:val="ListeParagraf"/>
        <w:numPr>
          <w:ilvl w:val="0"/>
          <w:numId w:val="4"/>
        </w:numPr>
        <w:tabs>
          <w:tab w:val="left" w:pos="567"/>
        </w:tabs>
        <w:spacing w:line="276" w:lineRule="auto"/>
        <w:ind w:left="240" w:hanging="240"/>
      </w:pPr>
      <w:r>
        <w:t>Gözle muayene personelinin yeterliği, teorik eğitimin yanı sıra uygulamalı sınavlar ve iç veya dış denetimlerle değerlendirilir, personelin sertifikasyonunun devamlılığı sağlanır.</w:t>
      </w:r>
    </w:p>
    <w:p w:rsidR="00697CF5" w:rsidRDefault="00FF45A3" w:rsidP="00D01E34">
      <w:pPr>
        <w:pStyle w:val="ListeParagraf"/>
        <w:numPr>
          <w:ilvl w:val="0"/>
          <w:numId w:val="4"/>
        </w:numPr>
        <w:tabs>
          <w:tab w:val="left" w:pos="567"/>
        </w:tabs>
        <w:spacing w:line="276" w:lineRule="auto"/>
        <w:ind w:left="360"/>
      </w:pPr>
      <w:r>
        <w:t>Gözle muayene yüksek görsel hassasiyet gerektirdiğinden gözle muayene personeli her yıl görsel keskinlik ve renk körlüğü testlerine tabi tutulur ve bu testlerin sonucunda görsel keskinlik ve renk ayırma yeterliliğine sahip olmadığı belirlenen personel gözle muayene uygulamakla görevlendirilemez.</w:t>
      </w:r>
    </w:p>
    <w:p w:rsidR="00697CF5" w:rsidRDefault="00FF45A3">
      <w:pPr>
        <w:pStyle w:val="ListeParagraf"/>
        <w:numPr>
          <w:ilvl w:val="0"/>
          <w:numId w:val="4"/>
        </w:numPr>
        <w:tabs>
          <w:tab w:val="left" w:pos="567"/>
        </w:tabs>
        <w:spacing w:line="276" w:lineRule="auto"/>
        <w:ind w:left="360"/>
      </w:pPr>
      <w:r>
        <w:t>Gözle muayene personeli, iş sağlığı ve güvenliği konusunda eğitim almış, kimyasal maddelerle çalışırken alması gereken önlemleri bilen personel arasından seçilir ve gözle muayene uygulanırken uygun koruyucu ekipmanları kullanması sağlanır.</w:t>
      </w:r>
    </w:p>
    <w:p w:rsidR="00697CF5" w:rsidRDefault="00FF45A3">
      <w:pPr>
        <w:pStyle w:val="ListeParagraf"/>
        <w:numPr>
          <w:ilvl w:val="0"/>
          <w:numId w:val="4"/>
        </w:numPr>
        <w:tabs>
          <w:tab w:val="left" w:pos="567"/>
        </w:tabs>
        <w:spacing w:line="276" w:lineRule="auto"/>
        <w:ind w:left="360"/>
      </w:pPr>
      <w:r>
        <w:t>Kurum tarafından gerçekleştirilen denetim ve yerinde incelemeler kapsamında, gözle muayene uygulamalarına ilişkin şüphe oluşması durumunda bağımsız kuruluşlar tarafından gözle muayenenin uygulanması Kuruluştan talep edilir ve bu talep Kuruluş tarafından gecikmeksizin karşılanır.</w:t>
      </w:r>
    </w:p>
    <w:p w:rsidR="00697CF5" w:rsidRDefault="00697CF5">
      <w:pPr>
        <w:tabs>
          <w:tab w:val="left" w:pos="567"/>
        </w:tabs>
        <w:spacing w:line="276" w:lineRule="auto"/>
        <w:ind w:left="284" w:firstLine="0"/>
        <w:contextualSpacing/>
      </w:pPr>
    </w:p>
    <w:p w:rsidR="00F2267A" w:rsidRDefault="00F2267A">
      <w:pPr>
        <w:tabs>
          <w:tab w:val="left" w:pos="567"/>
        </w:tabs>
        <w:spacing w:line="276" w:lineRule="auto"/>
        <w:ind w:left="284" w:firstLine="0"/>
        <w:contextualSpacing/>
      </w:pPr>
    </w:p>
    <w:p w:rsidR="00F2267A" w:rsidRDefault="00F2267A">
      <w:pPr>
        <w:tabs>
          <w:tab w:val="left" w:pos="567"/>
        </w:tabs>
        <w:spacing w:line="276" w:lineRule="auto"/>
        <w:ind w:left="284" w:firstLine="0"/>
        <w:contextualSpacing/>
      </w:pPr>
    </w:p>
    <w:p w:rsidR="00F2267A" w:rsidRDefault="00F2267A" w:rsidP="00F2267A">
      <w:pPr>
        <w:tabs>
          <w:tab w:val="left" w:pos="567"/>
        </w:tabs>
        <w:spacing w:line="276" w:lineRule="auto"/>
        <w:ind w:firstLine="0"/>
        <w:contextualSpacing/>
      </w:pPr>
    </w:p>
    <w:p w:rsidR="00697CF5" w:rsidRDefault="00FF45A3" w:rsidP="001259B9">
      <w:pPr>
        <w:pStyle w:val="Balk2"/>
        <w:spacing w:before="240"/>
        <w:ind w:left="0" w:firstLine="0"/>
      </w:pPr>
      <w:r>
        <w:lastRenderedPageBreak/>
        <w:t xml:space="preserve"> UYGULAMA</w:t>
      </w:r>
    </w:p>
    <w:p w:rsidR="00697CF5" w:rsidRDefault="00FF45A3">
      <w:pPr>
        <w:pStyle w:val="Balk3"/>
        <w:spacing w:after="240"/>
        <w:ind w:firstLine="0"/>
      </w:pPr>
      <w:r>
        <w:t>Teçhizat</w:t>
      </w:r>
    </w:p>
    <w:p w:rsidR="00697CF5" w:rsidRDefault="00FF45A3">
      <w:pPr>
        <w:pStyle w:val="ListeParagraf"/>
        <w:numPr>
          <w:ilvl w:val="0"/>
          <w:numId w:val="4"/>
        </w:numPr>
        <w:tabs>
          <w:tab w:val="left" w:pos="567"/>
        </w:tabs>
        <w:spacing w:line="276" w:lineRule="auto"/>
        <w:ind w:left="360"/>
      </w:pPr>
      <w:r>
        <w:t>Muayenenin doğruluğu ve güvenilirliğinin sağlanması için TS EN 13927, TS ISO 3058, PNAE G-7-016, GOST R 50.05.08, ASME BPVC Bölüm V veya bunlara eşdeğer bir standarda uyumlu teçhizat kullanılır.</w:t>
      </w:r>
    </w:p>
    <w:p w:rsidR="00697CF5" w:rsidRDefault="00FF45A3">
      <w:pPr>
        <w:pStyle w:val="ListeParagraf"/>
        <w:numPr>
          <w:ilvl w:val="0"/>
          <w:numId w:val="4"/>
        </w:numPr>
        <w:tabs>
          <w:tab w:val="left" w:pos="567"/>
        </w:tabs>
        <w:spacing w:line="276" w:lineRule="auto"/>
        <w:ind w:left="360"/>
      </w:pPr>
      <w:r>
        <w:t>Gözle muayene uygulamalarında kullanılan teçhizat; nesnelere doğrudan görsel erişimin mümkün olmadığı, çevresel koşulların muayeneyi engellediği, test hassasiyetinin yetersiz kaldığı veya görüntü kaydının gerektiği durumlarda kullanılır. Kullanılan teçhizat, muayenenin doğruluğunu ve güvenilirliğini sağlamak amacıyla gerekli tüm bileşenleri içerecek şekilde yapılandırılmış olmalıdır.</w:t>
      </w:r>
    </w:p>
    <w:p w:rsidR="00697CF5" w:rsidRDefault="00FF45A3">
      <w:pPr>
        <w:pStyle w:val="ListeParagraf"/>
        <w:numPr>
          <w:ilvl w:val="0"/>
          <w:numId w:val="4"/>
        </w:numPr>
        <w:tabs>
          <w:tab w:val="left" w:pos="567"/>
        </w:tabs>
        <w:spacing w:line="276" w:lineRule="auto"/>
        <w:ind w:left="360"/>
      </w:pPr>
      <w:r>
        <w:t>Kullanılan teçhizat, gözle muayene gereksinimlerini karşılamak için uygun olmalı ve muayenenin doğru şekilde yapılabilmesi için gerekli çözünürlük, ışık şiddeti ve uygun görsel netlik gibi parametreleri sağlar. Görüntü kaydının yapılması gereken durumlarda, kullanılan teçhizat, bu gereksinimleri karşılamak için uygun özelliklere sahip olur.</w:t>
      </w:r>
    </w:p>
    <w:p w:rsidR="00697CF5" w:rsidRDefault="00FF45A3">
      <w:pPr>
        <w:pStyle w:val="ListeParagraf"/>
        <w:numPr>
          <w:ilvl w:val="0"/>
          <w:numId w:val="4"/>
        </w:numPr>
        <w:tabs>
          <w:tab w:val="left" w:pos="567"/>
        </w:tabs>
        <w:spacing w:line="276" w:lineRule="auto"/>
        <w:ind w:left="360"/>
      </w:pPr>
      <w:r>
        <w:t>Gözle muayene teçhizatı, test hassasiyetinin artırılması ve nesnelerin doğru şekilde görüntülenebilmesi için gerekli mekanik, optik ve elektronik doğrulama testlerinden geçmelidir. Bu testler, test parametreleri ve sistem doğruluğunun test belgelerine uygun olup olmadığını kontrol etmek amacıyla teçhizat üreticisinin belirlediği periyotlarda yapılır.</w:t>
      </w:r>
    </w:p>
    <w:p w:rsidR="00697CF5" w:rsidRDefault="00FF45A3">
      <w:pPr>
        <w:pStyle w:val="ListeParagraf"/>
        <w:numPr>
          <w:ilvl w:val="0"/>
          <w:numId w:val="4"/>
        </w:numPr>
        <w:tabs>
          <w:tab w:val="left" w:pos="567"/>
        </w:tabs>
        <w:spacing w:line="276" w:lineRule="auto"/>
        <w:ind w:left="360"/>
      </w:pPr>
      <w:r>
        <w:t>Teçhizat; her kullanım öncesi kalibrasyonu, her kullanım sonrası bakım işleri yapılır. Teçhizatın periyodik bakımı, muayene prosedürlerine uygun olarak gerçekleştirilir.</w:t>
      </w:r>
    </w:p>
    <w:p w:rsidR="00697CF5" w:rsidRDefault="00FF45A3">
      <w:pPr>
        <w:pStyle w:val="Balk3"/>
        <w:spacing w:after="240"/>
        <w:ind w:firstLine="0"/>
      </w:pPr>
      <w:r>
        <w:t>Yüzey Hazırlığı</w:t>
      </w:r>
    </w:p>
    <w:p w:rsidR="00697CF5" w:rsidRDefault="00FF45A3">
      <w:pPr>
        <w:pStyle w:val="ListeParagraf"/>
        <w:numPr>
          <w:ilvl w:val="0"/>
          <w:numId w:val="4"/>
        </w:numPr>
        <w:tabs>
          <w:tab w:val="left" w:pos="567"/>
        </w:tabs>
        <w:spacing w:line="276" w:lineRule="auto"/>
        <w:ind w:left="360"/>
      </w:pPr>
      <w:r>
        <w:t xml:space="preserve">Yüzeydeki kir, yağ, pas ve diğer yabancı maddeler gözle muayene öncesinde uygun temizleme yöntemleri ile ortadan kaldırılır. </w:t>
      </w:r>
    </w:p>
    <w:p w:rsidR="00697CF5" w:rsidRDefault="00FF45A3">
      <w:pPr>
        <w:pStyle w:val="ListeParagraf"/>
        <w:numPr>
          <w:ilvl w:val="0"/>
          <w:numId w:val="4"/>
        </w:numPr>
        <w:tabs>
          <w:tab w:val="left" w:pos="567"/>
        </w:tabs>
        <w:spacing w:line="276" w:lineRule="auto"/>
        <w:ind w:left="360"/>
      </w:pPr>
      <w:r>
        <w:t xml:space="preserve">Temizlik, kimyasal, mekanik, elektrokimyasal, </w:t>
      </w:r>
      <w:proofErr w:type="spellStart"/>
      <w:r>
        <w:t>ultrasonik</w:t>
      </w:r>
      <w:proofErr w:type="spellEnd"/>
      <w:r>
        <w:t xml:space="preserve"> veya bunların kombinasyonu olacak şekilde gerçekleştirilir. Yüzeyin temizliği, uygulama öncesinde doğru bir şekilde kontrol edilir.</w:t>
      </w:r>
    </w:p>
    <w:p w:rsidR="00697CF5" w:rsidRDefault="00FF45A3">
      <w:pPr>
        <w:pStyle w:val="ListeParagraf"/>
        <w:numPr>
          <w:ilvl w:val="0"/>
          <w:numId w:val="4"/>
        </w:numPr>
        <w:tabs>
          <w:tab w:val="left" w:pos="567"/>
        </w:tabs>
        <w:spacing w:line="276" w:lineRule="auto"/>
        <w:ind w:left="360"/>
      </w:pPr>
      <w:r>
        <w:t>Kullanılacak temizlik ürünleri, parçaya zarar vermeyecek şekilde seçilir.</w:t>
      </w:r>
    </w:p>
    <w:p w:rsidR="00697CF5" w:rsidRDefault="00FF45A3">
      <w:pPr>
        <w:pStyle w:val="ListeParagraf"/>
        <w:numPr>
          <w:ilvl w:val="0"/>
          <w:numId w:val="4"/>
        </w:numPr>
        <w:tabs>
          <w:tab w:val="left" w:pos="567"/>
        </w:tabs>
        <w:spacing w:line="276" w:lineRule="auto"/>
        <w:ind w:left="360"/>
      </w:pPr>
      <w:r>
        <w:t>Yüzey, gözle muayene sırasında yüzeydeki en küçük kusurların bile gözlemlenebilmesine imkân sağlayacak şekilde düzgün ve pürüzsüz olmalıdır.</w:t>
      </w:r>
    </w:p>
    <w:p w:rsidR="00697CF5" w:rsidRDefault="00FF45A3">
      <w:pPr>
        <w:pStyle w:val="Balk3"/>
        <w:spacing w:after="240"/>
        <w:ind w:firstLine="0"/>
      </w:pPr>
      <w:r>
        <w:t>Doğrudan Gözle Muayene</w:t>
      </w:r>
    </w:p>
    <w:p w:rsidR="00697CF5" w:rsidRDefault="00FF45A3">
      <w:pPr>
        <w:pStyle w:val="ListeParagraf"/>
        <w:numPr>
          <w:ilvl w:val="0"/>
          <w:numId w:val="4"/>
        </w:numPr>
        <w:tabs>
          <w:tab w:val="left" w:pos="567"/>
        </w:tabs>
        <w:spacing w:line="276" w:lineRule="auto"/>
        <w:ind w:left="360"/>
      </w:pPr>
      <w:r>
        <w:t xml:space="preserve">Erişimin yeterli olduğu durumlarda, gözün incelenecek yüzeyin 60 cm yakınına getirilebilmesi ve yüzeyin en az 30°'lik bir açıyla görülebilmesi koşuluyla, lokal görsel inceleme için doğrudan gözle muayene yapılır. </w:t>
      </w:r>
    </w:p>
    <w:p w:rsidR="00697CF5" w:rsidRDefault="00FF45A3">
      <w:pPr>
        <w:pStyle w:val="ListeParagraf"/>
        <w:numPr>
          <w:ilvl w:val="0"/>
          <w:numId w:val="4"/>
        </w:numPr>
        <w:tabs>
          <w:tab w:val="left" w:pos="567"/>
        </w:tabs>
        <w:spacing w:line="276" w:lineRule="auto"/>
        <w:ind w:left="360"/>
      </w:pPr>
      <w:r>
        <w:t xml:space="preserve">Görüş açısının yetersiz olduğu durumda aynalar kullanılır.  Muayene sırasında yardımcı olması için büyüteçler, </w:t>
      </w:r>
      <w:proofErr w:type="spellStart"/>
      <w:r w:rsidR="00B37165">
        <w:t>boroskoplar</w:t>
      </w:r>
      <w:proofErr w:type="spellEnd"/>
      <w:r>
        <w:t xml:space="preserve"> ve fiber optikler gibi yardımcı araçlar kullanılabilir.</w:t>
      </w:r>
    </w:p>
    <w:p w:rsidR="00697CF5" w:rsidRDefault="00FF45A3">
      <w:pPr>
        <w:pStyle w:val="ListeParagraf"/>
        <w:numPr>
          <w:ilvl w:val="0"/>
          <w:numId w:val="4"/>
        </w:numPr>
        <w:tabs>
          <w:tab w:val="left" w:pos="567"/>
        </w:tabs>
        <w:spacing w:line="276" w:lineRule="auto"/>
        <w:ind w:left="360"/>
      </w:pPr>
      <w:r>
        <w:t>Muayene edilen parça yüzeyi yeterince aydınlatılmalıdır. Aydınlatma şiddeti, muayene öncesinde lüksmetre ile ölçülür; yetersiz olduğu durumlarda yardımcı aydınlatma ekipmanları kullanılır.</w:t>
      </w:r>
    </w:p>
    <w:p w:rsidR="00697CF5" w:rsidRDefault="00FF45A3">
      <w:pPr>
        <w:pStyle w:val="ListeParagraf"/>
        <w:numPr>
          <w:ilvl w:val="0"/>
          <w:numId w:val="4"/>
        </w:numPr>
        <w:tabs>
          <w:tab w:val="left" w:pos="567"/>
        </w:tabs>
        <w:spacing w:line="276" w:lineRule="auto"/>
        <w:ind w:left="360"/>
      </w:pPr>
      <w:r>
        <w:t>Doğrudan gözle muayenenin etkinliğini en üst düzeye çıkarmak için;</w:t>
      </w:r>
    </w:p>
    <w:p w:rsidR="00697CF5" w:rsidRDefault="00FF45A3">
      <w:pPr>
        <w:numPr>
          <w:ilvl w:val="0"/>
          <w:numId w:val="6"/>
        </w:numPr>
        <w:spacing w:after="160" w:line="278" w:lineRule="auto"/>
        <w:ind w:left="851" w:hanging="283"/>
        <w:contextualSpacing/>
        <w:jc w:val="left"/>
      </w:pPr>
      <w:r>
        <w:t>Bakış noktasına göre optimum ışık yönü kullanılmalı,</w:t>
      </w:r>
    </w:p>
    <w:p w:rsidR="00697CF5" w:rsidRDefault="00FF45A3">
      <w:pPr>
        <w:numPr>
          <w:ilvl w:val="0"/>
          <w:numId w:val="6"/>
        </w:numPr>
        <w:spacing w:after="160" w:line="278" w:lineRule="auto"/>
        <w:ind w:left="851" w:hanging="283"/>
        <w:contextualSpacing/>
        <w:jc w:val="left"/>
      </w:pPr>
      <w:r>
        <w:t>Parlama (yansıma) önlenmeli,</w:t>
      </w:r>
    </w:p>
    <w:p w:rsidR="00697CF5" w:rsidRDefault="00FF45A3">
      <w:pPr>
        <w:numPr>
          <w:ilvl w:val="0"/>
          <w:numId w:val="6"/>
        </w:numPr>
        <w:spacing w:after="160" w:line="278" w:lineRule="auto"/>
        <w:ind w:left="851" w:hanging="283"/>
        <w:contextualSpacing/>
        <w:jc w:val="left"/>
      </w:pPr>
      <w:r>
        <w:t>Işık kaynağının renk sıcaklığı optimize edilmeli,</w:t>
      </w:r>
    </w:p>
    <w:p w:rsidR="00697CF5" w:rsidRDefault="00FF45A3">
      <w:pPr>
        <w:numPr>
          <w:ilvl w:val="0"/>
          <w:numId w:val="6"/>
        </w:numPr>
        <w:spacing w:after="160" w:line="278" w:lineRule="auto"/>
        <w:ind w:left="851" w:hanging="283"/>
        <w:contextualSpacing/>
        <w:jc w:val="left"/>
      </w:pPr>
      <w:r>
        <w:t>Yüzeyin yansıtıcılığı ile uyumlu bir aydınlatma seviyesi kullanılmalıdır.</w:t>
      </w:r>
    </w:p>
    <w:p w:rsidR="00697CF5" w:rsidRDefault="00FF45A3">
      <w:pPr>
        <w:pStyle w:val="Balk3"/>
        <w:spacing w:after="240"/>
        <w:ind w:firstLine="0"/>
      </w:pPr>
      <w:r>
        <w:lastRenderedPageBreak/>
        <w:t>Dolaylı Gözle Muayene</w:t>
      </w:r>
    </w:p>
    <w:p w:rsidR="00697CF5" w:rsidRDefault="00FF45A3">
      <w:pPr>
        <w:pStyle w:val="ListeParagraf"/>
        <w:numPr>
          <w:ilvl w:val="0"/>
          <w:numId w:val="4"/>
        </w:numPr>
        <w:tabs>
          <w:tab w:val="left" w:pos="567"/>
        </w:tabs>
        <w:spacing w:line="276" w:lineRule="auto"/>
        <w:ind w:left="360"/>
      </w:pPr>
      <w:r>
        <w:t xml:space="preserve">Doğrudan gözle muayene yapılamadığı durumlarda </w:t>
      </w:r>
      <w:proofErr w:type="spellStart"/>
      <w:r w:rsidR="00B37165">
        <w:t>boroskop</w:t>
      </w:r>
      <w:proofErr w:type="spellEnd"/>
      <w:r>
        <w:t xml:space="preserve"> ve fiber optik gibi görsel yardımcılar ile kameralar veya diğer uygun </w:t>
      </w:r>
      <w:proofErr w:type="spellStart"/>
      <w:r>
        <w:t>teçhizatların</w:t>
      </w:r>
      <w:proofErr w:type="spellEnd"/>
      <w:r>
        <w:t xml:space="preserve"> kullanılmasıyla dolaylı gözle muayene gerçekleştirilir. </w:t>
      </w:r>
    </w:p>
    <w:p w:rsidR="00697CF5" w:rsidRDefault="00FF45A3">
      <w:pPr>
        <w:pStyle w:val="ListeParagraf"/>
        <w:numPr>
          <w:ilvl w:val="0"/>
          <w:numId w:val="4"/>
        </w:numPr>
        <w:tabs>
          <w:tab w:val="left" w:pos="567"/>
        </w:tabs>
        <w:spacing w:line="276" w:lineRule="auto"/>
        <w:ind w:left="360"/>
      </w:pPr>
      <w:r>
        <w:t>Dolaylı gözle muayene sisteminin belirlenen görevi yerine getirme uygunluğu muayene öncesi kanıtlanır.</w:t>
      </w:r>
    </w:p>
    <w:p w:rsidR="00697CF5" w:rsidRDefault="00FF45A3">
      <w:pPr>
        <w:pStyle w:val="ListeParagraf"/>
        <w:numPr>
          <w:ilvl w:val="0"/>
          <w:numId w:val="4"/>
        </w:numPr>
        <w:tabs>
          <w:tab w:val="left" w:pos="567"/>
        </w:tabs>
        <w:spacing w:line="276" w:lineRule="auto"/>
        <w:ind w:left="360"/>
      </w:pPr>
      <w:r>
        <w:t xml:space="preserve">Dolaylı gözle muayene sırasında kullanılan ışık kaynakları, mercekler, mikroskoplar, </w:t>
      </w:r>
      <w:proofErr w:type="spellStart"/>
      <w:r w:rsidR="00B37165">
        <w:t>boroskoplar</w:t>
      </w:r>
      <w:proofErr w:type="spellEnd"/>
      <w:r>
        <w:t xml:space="preserve"> ve kamera sistemleri gibi teçhizatlar, testin doğruluğunu ve hassasiyetini artırmak amacıyla uygun şekilde seçilir.</w:t>
      </w:r>
    </w:p>
    <w:p w:rsidR="00697CF5" w:rsidRDefault="00FF45A3">
      <w:pPr>
        <w:pStyle w:val="ListeParagraf"/>
        <w:numPr>
          <w:ilvl w:val="0"/>
          <w:numId w:val="4"/>
        </w:numPr>
        <w:tabs>
          <w:tab w:val="left" w:pos="567"/>
        </w:tabs>
        <w:spacing w:line="276" w:lineRule="auto"/>
        <w:ind w:left="360"/>
      </w:pPr>
      <w:r>
        <w:t>Dolaylı gözle muayene için kullanılan teçhizatlar ile ortamın uyumlu olması gerekir. Işık seviyeleri, yüzeyin yansıma özellikleri ve ortam koşulları, teçhizatın verimli çalışması için dikkatlice ayarlanır.</w:t>
      </w:r>
    </w:p>
    <w:p w:rsidR="00697CF5" w:rsidRDefault="00FF45A3">
      <w:pPr>
        <w:pStyle w:val="ListeParagraf"/>
        <w:numPr>
          <w:ilvl w:val="0"/>
          <w:numId w:val="4"/>
        </w:numPr>
        <w:tabs>
          <w:tab w:val="left" w:pos="567"/>
        </w:tabs>
        <w:spacing w:line="276" w:lineRule="auto"/>
        <w:ind w:left="360"/>
      </w:pPr>
      <w:r>
        <w:t xml:space="preserve">Dolaylı gözle muayene için kullanılacak teçhizatlar kullanılmadan önce optik sistemlerin doğruluğu, ışık yoğunluğu ve çözünürlük gibi faktörlere ilişkin kalibrasyon ve bakım prosedürlerinin yerine getirilmesi gerekir. </w:t>
      </w:r>
    </w:p>
    <w:p w:rsidR="00697CF5" w:rsidRDefault="00FF45A3">
      <w:pPr>
        <w:pStyle w:val="Balk3"/>
        <w:spacing w:after="240"/>
        <w:ind w:firstLine="0"/>
        <w:rPr>
          <w:rFonts w:cs="Times New Roman"/>
          <w:szCs w:val="24"/>
        </w:rPr>
      </w:pPr>
      <w:r>
        <w:t>Kabul Kriterleri</w:t>
      </w:r>
    </w:p>
    <w:p w:rsidR="00697CF5" w:rsidRDefault="00FF45A3">
      <w:pPr>
        <w:pStyle w:val="ListeParagraf"/>
        <w:numPr>
          <w:ilvl w:val="0"/>
          <w:numId w:val="4"/>
        </w:numPr>
        <w:tabs>
          <w:tab w:val="left" w:pos="567"/>
        </w:tabs>
        <w:spacing w:line="276" w:lineRule="auto"/>
        <w:ind w:left="360"/>
      </w:pPr>
      <w:r>
        <w:t>Muayene sırasında muayene edilen yüzeydeki süreksizliklerin boyutu, şekli ve derinliği değerlendirilir. Uygulamada kullanılan standartlar ile kabul kriterleri için kullanılan standartların aynı standart grubundan olması gerekir.</w:t>
      </w:r>
    </w:p>
    <w:p w:rsidR="00697CF5" w:rsidRDefault="00FF45A3">
      <w:pPr>
        <w:pStyle w:val="ListeParagraf"/>
        <w:numPr>
          <w:ilvl w:val="0"/>
          <w:numId w:val="4"/>
        </w:numPr>
        <w:tabs>
          <w:tab w:val="left" w:pos="567"/>
        </w:tabs>
        <w:spacing w:line="276" w:lineRule="auto"/>
        <w:ind w:left="360"/>
      </w:pPr>
      <w:r>
        <w:t>Gözle muayene sonuçlarına göre kaynaklı birleştirmeler için TS EN ISO 5817, TS EN ISO 10042, PNAE G-7-010, NP 105, ASME BPVC Bölüm III, ASME BPVC Bölüm VIII, ASME BPVC Bölüm IX veya bunlara eşdeğer bir standarda uygun kabul kriterleri uygulanır.</w:t>
      </w:r>
    </w:p>
    <w:p w:rsidR="00697CF5" w:rsidRDefault="00FF45A3">
      <w:pPr>
        <w:pStyle w:val="ListeParagraf"/>
        <w:numPr>
          <w:ilvl w:val="0"/>
          <w:numId w:val="4"/>
        </w:numPr>
        <w:tabs>
          <w:tab w:val="left" w:pos="567"/>
        </w:tabs>
        <w:spacing w:line="276" w:lineRule="auto"/>
        <w:ind w:left="360"/>
      </w:pPr>
      <w:r>
        <w:t>Gözle muayene sonuçlarına göre döküm parçalar için TS EN 1370, TS ISO 11971, ISO 19959, PNAE G-7-025, NP-105, ASME BPVC Bölüm VIII, ASME BPVC Bölüm III veya bunlara eşdeğer bir standarda uygun kabul kriterleri uygulanır.</w:t>
      </w:r>
    </w:p>
    <w:p w:rsidR="00697CF5" w:rsidRDefault="00FF45A3">
      <w:pPr>
        <w:pStyle w:val="ListeParagraf"/>
        <w:numPr>
          <w:ilvl w:val="0"/>
          <w:numId w:val="4"/>
        </w:numPr>
        <w:tabs>
          <w:tab w:val="left" w:pos="567"/>
        </w:tabs>
        <w:spacing w:line="276" w:lineRule="auto"/>
        <w:ind w:left="360"/>
      </w:pPr>
      <w:r>
        <w:t>Gözle muayene sonuçlarına göre biçimlendirilmiş parçalar için TS EN 10163-1, TS EN 10163-2, TS EN 10163-3, TS EN 10029, PNAE G-7-010, NP 105, ASME BPVC Bölüm III, ASME BPVC Bölüm II veya bunlara eşdeğer bir standarda uygun kabul kriterleri uygulanır.</w:t>
      </w:r>
    </w:p>
    <w:p w:rsidR="00697CF5" w:rsidRDefault="00FF45A3">
      <w:pPr>
        <w:pStyle w:val="ListeParagraf"/>
        <w:numPr>
          <w:ilvl w:val="0"/>
          <w:numId w:val="4"/>
        </w:numPr>
        <w:tabs>
          <w:tab w:val="left" w:pos="567"/>
        </w:tabs>
        <w:spacing w:line="276" w:lineRule="auto"/>
        <w:ind w:left="360"/>
      </w:pPr>
      <w:r>
        <w:t>Muayene edilen yüzeyde hata tespit edilmesi durumunda muayene parçası uygun etiketleme ve dokümantasyonla karantinaya alınır.</w:t>
      </w:r>
    </w:p>
    <w:p w:rsidR="00697CF5" w:rsidRDefault="00FF45A3" w:rsidP="001259B9">
      <w:pPr>
        <w:pStyle w:val="Balk2"/>
        <w:spacing w:before="240"/>
        <w:ind w:left="0" w:firstLine="0"/>
      </w:pPr>
      <w:r>
        <w:t xml:space="preserve"> RAPORLAMA VE ARŞİV</w:t>
      </w:r>
    </w:p>
    <w:p w:rsidR="00697CF5" w:rsidRDefault="00FF45A3">
      <w:pPr>
        <w:pStyle w:val="Balk3"/>
        <w:spacing w:after="240"/>
        <w:ind w:firstLine="0"/>
      </w:pPr>
      <w:r>
        <w:t>Raporlama</w:t>
      </w:r>
    </w:p>
    <w:p w:rsidR="00697CF5" w:rsidRDefault="00FF45A3">
      <w:pPr>
        <w:pStyle w:val="ListeParagraf"/>
        <w:numPr>
          <w:ilvl w:val="0"/>
          <w:numId w:val="4"/>
        </w:numPr>
        <w:tabs>
          <w:tab w:val="left" w:pos="567"/>
        </w:tabs>
        <w:spacing w:line="276" w:lineRule="auto"/>
        <w:ind w:left="360"/>
      </w:pPr>
      <w:r>
        <w:t>Gözle muayene sonuçları rapor hazırlanarak kayıt altına alınır. Gözle muayene raporları, muayenenin tamamlanmasından itibaren TSE EN 13018, TS EN ISO 17637, PNAE G-7-016, GOST R 50.05.08 ve ASME BPVC Bölüm V veya bunlara eşdeğer bir standarda uygun olarak oluşturulur ve fiziksel raporlar standartta belirtilen süre boyunca muhafaza edilir.</w:t>
      </w:r>
    </w:p>
    <w:p w:rsidR="00697CF5" w:rsidRDefault="00FF45A3">
      <w:pPr>
        <w:pStyle w:val="ListeParagraf"/>
        <w:numPr>
          <w:ilvl w:val="0"/>
          <w:numId w:val="4"/>
        </w:numPr>
        <w:tabs>
          <w:tab w:val="left" w:pos="567"/>
        </w:tabs>
        <w:spacing w:line="276" w:lineRule="auto"/>
        <w:ind w:left="360"/>
      </w:pPr>
      <w:r>
        <w:t>Gözle muayene raporları asgari olarak aşağıdaki bilgileri içerir:</w:t>
      </w:r>
    </w:p>
    <w:p w:rsidR="00514888" w:rsidRDefault="00514888" w:rsidP="00514888">
      <w:pPr>
        <w:numPr>
          <w:ilvl w:val="0"/>
          <w:numId w:val="2"/>
        </w:numPr>
        <w:tabs>
          <w:tab w:val="left" w:pos="567"/>
        </w:tabs>
        <w:spacing w:before="240" w:after="240"/>
        <w:ind w:left="567" w:hanging="283"/>
        <w:contextualSpacing/>
      </w:pPr>
      <w:r>
        <w:t xml:space="preserve">Muayene raporunda muayeneyi gerçekleştiren, muayeneyi değerlendiren ve onaylayan personel bilgileri. </w:t>
      </w:r>
    </w:p>
    <w:p w:rsidR="00697CF5" w:rsidRDefault="00FF45A3">
      <w:pPr>
        <w:numPr>
          <w:ilvl w:val="0"/>
          <w:numId w:val="2"/>
        </w:numPr>
        <w:tabs>
          <w:tab w:val="left" w:pos="567"/>
        </w:tabs>
        <w:spacing w:before="240" w:after="240"/>
        <w:ind w:left="567" w:hanging="283"/>
        <w:contextualSpacing/>
      </w:pPr>
      <w:r>
        <w:lastRenderedPageBreak/>
        <w:t>Muayenenin gerçekleştirildiği yer, muayene tarihi, muayeneyi gerçekleştiren personelin sertifikasyon bilgileri ve ilgili yetkilendirmeleri.</w:t>
      </w:r>
    </w:p>
    <w:p w:rsidR="00697CF5" w:rsidRDefault="00FF45A3">
      <w:pPr>
        <w:numPr>
          <w:ilvl w:val="0"/>
          <w:numId w:val="2"/>
        </w:numPr>
        <w:tabs>
          <w:tab w:val="left" w:pos="567"/>
        </w:tabs>
        <w:spacing w:before="240" w:after="240"/>
        <w:ind w:left="567" w:hanging="283"/>
        <w:contextualSpacing/>
      </w:pPr>
      <w:r>
        <w:t>Muayene bölgesi, muayene kapsamı ve muayene yöntemi.</w:t>
      </w:r>
    </w:p>
    <w:p w:rsidR="00697CF5" w:rsidRDefault="00FF45A3">
      <w:pPr>
        <w:numPr>
          <w:ilvl w:val="0"/>
          <w:numId w:val="2"/>
        </w:numPr>
        <w:tabs>
          <w:tab w:val="left" w:pos="567"/>
        </w:tabs>
        <w:spacing w:before="240" w:after="240"/>
        <w:ind w:left="567" w:hanging="283"/>
        <w:contextualSpacing/>
      </w:pPr>
      <w:r>
        <w:t>Muayene edilen parça bilgisi ile yüzeyin türü ve boyutları.</w:t>
      </w:r>
    </w:p>
    <w:p w:rsidR="00697CF5" w:rsidRDefault="00FF45A3">
      <w:pPr>
        <w:numPr>
          <w:ilvl w:val="0"/>
          <w:numId w:val="2"/>
        </w:numPr>
        <w:tabs>
          <w:tab w:val="left" w:pos="567"/>
        </w:tabs>
        <w:spacing w:before="240" w:after="240"/>
        <w:ind w:left="567" w:hanging="283"/>
        <w:contextualSpacing/>
      </w:pPr>
      <w:r>
        <w:t>Kullanılan uygulama ve değerlendirme standartları, muayene talimatı ve değerlendirme kriterleri.</w:t>
      </w:r>
    </w:p>
    <w:p w:rsidR="00697CF5" w:rsidRDefault="00FF45A3">
      <w:pPr>
        <w:numPr>
          <w:ilvl w:val="0"/>
          <w:numId w:val="2"/>
        </w:numPr>
        <w:tabs>
          <w:tab w:val="left" w:pos="567"/>
        </w:tabs>
        <w:spacing w:before="240" w:after="240"/>
        <w:ind w:left="567" w:hanging="283"/>
        <w:contextualSpacing/>
      </w:pPr>
      <w:r>
        <w:t>Aydınlatma ışık şiddeti bilgisi.</w:t>
      </w:r>
    </w:p>
    <w:p w:rsidR="00697CF5" w:rsidRDefault="00FF45A3">
      <w:pPr>
        <w:numPr>
          <w:ilvl w:val="0"/>
          <w:numId w:val="2"/>
        </w:numPr>
        <w:tabs>
          <w:tab w:val="left" w:pos="567"/>
        </w:tabs>
        <w:spacing w:before="240" w:after="240"/>
        <w:ind w:left="567" w:hanging="283"/>
        <w:contextualSpacing/>
      </w:pPr>
      <w:bookmarkStart w:id="1" w:name="_Hlk193105671"/>
      <w:r>
        <w:t>Muayene sonuçları ve varsa tespit edilen kusurların detaylı açıklama ve değerlendirmesi</w:t>
      </w:r>
      <w:bookmarkEnd w:id="1"/>
      <w:r>
        <w:t>.</w:t>
      </w:r>
    </w:p>
    <w:p w:rsidR="00697CF5" w:rsidRDefault="00FF45A3">
      <w:pPr>
        <w:numPr>
          <w:ilvl w:val="0"/>
          <w:numId w:val="2"/>
        </w:numPr>
        <w:tabs>
          <w:tab w:val="left" w:pos="567"/>
        </w:tabs>
        <w:spacing w:before="240" w:after="240"/>
        <w:ind w:left="567" w:hanging="283"/>
        <w:contextualSpacing/>
      </w:pPr>
      <w:r>
        <w:t>Muayene edilen parçanın kabul edilmiş veya reddedilmiş muayene alanlarının listesi.</w:t>
      </w:r>
    </w:p>
    <w:p w:rsidR="00697CF5" w:rsidRDefault="00FF45A3">
      <w:pPr>
        <w:pStyle w:val="Balk3"/>
        <w:spacing w:after="240"/>
        <w:ind w:firstLine="0"/>
      </w:pPr>
      <w:r>
        <w:t>Raporların Saklanması</w:t>
      </w:r>
    </w:p>
    <w:p w:rsidR="00697CF5" w:rsidRDefault="00FF45A3">
      <w:pPr>
        <w:pStyle w:val="ListeParagraf"/>
        <w:numPr>
          <w:ilvl w:val="0"/>
          <w:numId w:val="4"/>
        </w:numPr>
        <w:tabs>
          <w:tab w:val="left" w:pos="567"/>
        </w:tabs>
        <w:spacing w:line="276" w:lineRule="auto"/>
        <w:ind w:left="360"/>
      </w:pPr>
      <w:r>
        <w:t>Kalite yönetim sistemi uyarıca; gözle muayene raporları hem fiziksel hem de dijital ortamda saklanması, düzenlenmesi, erişilebilir ve denetlenebilir olması sağlanır.</w:t>
      </w:r>
    </w:p>
    <w:p w:rsidR="00697CF5" w:rsidRDefault="00FF45A3">
      <w:pPr>
        <w:pStyle w:val="ListeParagraf"/>
        <w:numPr>
          <w:ilvl w:val="0"/>
          <w:numId w:val="4"/>
        </w:numPr>
        <w:tabs>
          <w:tab w:val="left" w:pos="567"/>
        </w:tabs>
        <w:spacing w:line="276" w:lineRule="auto"/>
        <w:ind w:left="360"/>
      </w:pPr>
      <w:r>
        <w:t xml:space="preserve">Raporlar, kalite yönetim sistemi uyarınca güvenli bir ortamda ve sadece erişim izni olan kişilerin erişimine açık olacak şekilde muhafaza edilir. </w:t>
      </w:r>
    </w:p>
    <w:p w:rsidR="00697CF5" w:rsidRDefault="00FF45A3">
      <w:pPr>
        <w:pStyle w:val="ListeParagraf"/>
        <w:numPr>
          <w:ilvl w:val="0"/>
          <w:numId w:val="4"/>
        </w:numPr>
        <w:tabs>
          <w:tab w:val="left" w:pos="567"/>
        </w:tabs>
        <w:spacing w:line="276" w:lineRule="auto"/>
        <w:ind w:left="360"/>
      </w:pPr>
      <w:r>
        <w:t>Fiziksel raporlar, nemden, ısıdan ve fiziksel hasarlardan korunacakları bir ortamda saklanır.</w:t>
      </w:r>
    </w:p>
    <w:p w:rsidR="00697CF5" w:rsidRDefault="00FF45A3">
      <w:pPr>
        <w:pStyle w:val="ListeParagraf"/>
        <w:numPr>
          <w:ilvl w:val="0"/>
          <w:numId w:val="4"/>
        </w:numPr>
        <w:tabs>
          <w:tab w:val="left" w:pos="567"/>
        </w:tabs>
        <w:spacing w:line="276" w:lineRule="auto"/>
        <w:ind w:left="360"/>
      </w:pPr>
      <w:r>
        <w:t>Gözle muayene raporları, fiziksel saklanmasına ek olarak nükleer tesis düzenleyici kontrolden çıkarılana kadar dijital ortamda veri güvenliğini ve erişim denetimlerini sağlayacak şekilde saklanır.</w:t>
      </w:r>
    </w:p>
    <w:p w:rsidR="00697CF5" w:rsidRDefault="00FF45A3">
      <w:pPr>
        <w:pStyle w:val="ListeParagraf"/>
        <w:numPr>
          <w:ilvl w:val="0"/>
          <w:numId w:val="4"/>
        </w:numPr>
        <w:tabs>
          <w:tab w:val="left" w:pos="567"/>
        </w:tabs>
        <w:spacing w:line="276" w:lineRule="auto"/>
        <w:ind w:left="360"/>
      </w:pPr>
      <w:r>
        <w:t>Dijital ortamda saklanan raporlar, veri bütünlüğünü ve değiştirilemezliğini garanti eden sistemler aracılığıyla muhafaza edilir.</w:t>
      </w:r>
    </w:p>
    <w:p w:rsidR="00697CF5" w:rsidRDefault="00FF45A3">
      <w:pPr>
        <w:pStyle w:val="ListeParagraf"/>
        <w:numPr>
          <w:ilvl w:val="0"/>
          <w:numId w:val="4"/>
        </w:numPr>
        <w:tabs>
          <w:tab w:val="left" w:pos="567"/>
        </w:tabs>
        <w:spacing w:line="276" w:lineRule="auto"/>
        <w:ind w:left="360"/>
      </w:pPr>
      <w:r>
        <w:t>Dijital raporlara yalnızca erişim izni olan kişilerin erişimi bulunur ve erişim kayıtları düzenli olarak izlenir.</w:t>
      </w:r>
    </w:p>
    <w:p w:rsidR="00697CF5" w:rsidRDefault="00FF45A3">
      <w:pPr>
        <w:pStyle w:val="ListeParagraf"/>
        <w:numPr>
          <w:ilvl w:val="0"/>
          <w:numId w:val="4"/>
        </w:numPr>
        <w:tabs>
          <w:tab w:val="left" w:pos="567"/>
        </w:tabs>
        <w:spacing w:line="276" w:lineRule="auto"/>
        <w:ind w:left="360"/>
      </w:pPr>
      <w:r>
        <w:t>Dijital saklama ortamı, aşağıdaki teknik ve idari gerekliliklere uygun olarak tesis edilir:</w:t>
      </w:r>
    </w:p>
    <w:p w:rsidR="00697CF5" w:rsidRDefault="00FF45A3">
      <w:pPr>
        <w:numPr>
          <w:ilvl w:val="0"/>
          <w:numId w:val="2"/>
        </w:numPr>
        <w:tabs>
          <w:tab w:val="left" w:pos="567"/>
        </w:tabs>
        <w:spacing w:before="240" w:after="240"/>
        <w:ind w:left="567" w:hanging="283"/>
        <w:contextualSpacing/>
      </w:pPr>
      <w:r>
        <w:t>Dijital raporlar için veri güvenliği önlemleri alınır, raporlar düzenli olarak yedeklenir, raporlara yetkisiz erişime karşı koruma sağlanır ve erişim kayıtları düzenli olarak izlenir.</w:t>
      </w:r>
    </w:p>
    <w:p w:rsidR="00697CF5" w:rsidRDefault="00FF45A3">
      <w:pPr>
        <w:numPr>
          <w:ilvl w:val="0"/>
          <w:numId w:val="2"/>
        </w:numPr>
        <w:tabs>
          <w:tab w:val="left" w:pos="567"/>
        </w:tabs>
        <w:spacing w:before="240" w:after="240"/>
        <w:ind w:left="567" w:hanging="283"/>
        <w:contextualSpacing/>
      </w:pPr>
      <w:r>
        <w:t xml:space="preserve">Kullanıcıların erişim seviyeleri, görev ve sorumluluklarıyla uyumlu şekilde düzenlenir. </w:t>
      </w:r>
    </w:p>
    <w:p w:rsidR="00697CF5" w:rsidRDefault="00FF45A3">
      <w:pPr>
        <w:numPr>
          <w:ilvl w:val="0"/>
          <w:numId w:val="2"/>
        </w:numPr>
        <w:tabs>
          <w:tab w:val="left" w:pos="567"/>
        </w:tabs>
        <w:spacing w:before="240" w:after="240"/>
        <w:ind w:left="567" w:hanging="283"/>
        <w:contextualSpacing/>
      </w:pPr>
      <w:r>
        <w:t>Saklama sistemleri düzenli olarak güncellenir ve güvenlik açıklarına karşı denetlenir.</w:t>
      </w:r>
    </w:p>
    <w:p w:rsidR="00697CF5" w:rsidRDefault="00FF45A3">
      <w:pPr>
        <w:numPr>
          <w:ilvl w:val="0"/>
          <w:numId w:val="2"/>
        </w:numPr>
        <w:tabs>
          <w:tab w:val="left" w:pos="567"/>
        </w:tabs>
        <w:spacing w:before="240" w:after="240"/>
        <w:ind w:left="567" w:hanging="283"/>
        <w:contextualSpacing/>
      </w:pPr>
      <w:r>
        <w:t>Veri merkezleri veya bulut tabanlı saklama hizmetlerinin TS ISO/IEC 27001 standardına uygun olması sağlanır.</w:t>
      </w:r>
    </w:p>
    <w:p w:rsidR="00D01E34" w:rsidRDefault="00D01E34" w:rsidP="00D01E34">
      <w:pPr>
        <w:tabs>
          <w:tab w:val="left" w:pos="567"/>
        </w:tabs>
        <w:spacing w:before="240" w:after="240"/>
        <w:contextualSpacing/>
      </w:pPr>
    </w:p>
    <w:p w:rsidR="00D01E34" w:rsidRDefault="00D01E34" w:rsidP="00D01E34">
      <w:pPr>
        <w:tabs>
          <w:tab w:val="left" w:pos="567"/>
        </w:tabs>
        <w:spacing w:before="240" w:after="240"/>
        <w:contextualSpacing/>
      </w:pPr>
    </w:p>
    <w:p w:rsidR="00D01E34" w:rsidRDefault="00D01E34"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p>
    <w:p w:rsidR="001259B9" w:rsidRDefault="001259B9" w:rsidP="00D01E34">
      <w:pPr>
        <w:tabs>
          <w:tab w:val="left" w:pos="567"/>
        </w:tabs>
        <w:spacing w:before="240" w:after="240"/>
        <w:contextualSpacing/>
      </w:pPr>
      <w:bookmarkStart w:id="2" w:name="_GoBack"/>
      <w:bookmarkEnd w:id="2"/>
    </w:p>
    <w:p w:rsidR="00F2267A" w:rsidRDefault="00F2267A" w:rsidP="00D01E34">
      <w:pPr>
        <w:tabs>
          <w:tab w:val="left" w:pos="567"/>
        </w:tabs>
        <w:spacing w:before="240" w:after="240"/>
        <w:contextualSpacing/>
      </w:pPr>
    </w:p>
    <w:p w:rsidR="00D01E34" w:rsidRDefault="00D01E34" w:rsidP="00D01E34">
      <w:pPr>
        <w:tabs>
          <w:tab w:val="left" w:pos="567"/>
        </w:tabs>
        <w:spacing w:before="240" w:after="240"/>
        <w:contextualSpacing/>
      </w:pPr>
    </w:p>
    <w:p w:rsidR="00697CF5" w:rsidRDefault="00697CF5">
      <w:pPr>
        <w:spacing w:after="240"/>
        <w:ind w:firstLine="0"/>
        <w:jc w:val="left"/>
      </w:pPr>
    </w:p>
    <w:p w:rsidR="00697CF5" w:rsidRDefault="00FF45A3">
      <w:pPr>
        <w:spacing w:after="240"/>
        <w:ind w:firstLine="709"/>
        <w:jc w:val="right"/>
        <w:rPr>
          <w:b/>
        </w:rPr>
      </w:pPr>
      <w:r>
        <w:rPr>
          <w:b/>
        </w:rPr>
        <w:lastRenderedPageBreak/>
        <w:t>EK-1</w:t>
      </w:r>
    </w:p>
    <w:p w:rsidR="00697CF5" w:rsidRDefault="00FF45A3">
      <w:pPr>
        <w:spacing w:after="240"/>
        <w:ind w:firstLine="709"/>
        <w:jc w:val="center"/>
        <w:rPr>
          <w:b/>
        </w:rPr>
      </w:pPr>
      <w:r>
        <w:rPr>
          <w:b/>
        </w:rPr>
        <w:t>GÖRSEL MUAYENE UYGULAMALARINDA KULLANILACAK STANDARTLAR</w:t>
      </w:r>
    </w:p>
    <w:p w:rsidR="00697CF5" w:rsidRDefault="00FF45A3">
      <w:pPr>
        <w:pStyle w:val="ListeParagraf"/>
        <w:numPr>
          <w:ilvl w:val="0"/>
          <w:numId w:val="1"/>
        </w:numPr>
        <w:spacing w:before="240" w:after="240"/>
        <w:ind w:left="567" w:hanging="425"/>
      </w:pPr>
      <w:r>
        <w:t xml:space="preserve">TS EN ISO 9712 “Tahribatsız </w:t>
      </w:r>
      <w:proofErr w:type="gramStart"/>
      <w:r>
        <w:t>muayene -</w:t>
      </w:r>
      <w:proofErr w:type="gramEnd"/>
      <w:r>
        <w:t xml:space="preserve"> Tahribatsız muayene personelinin vasıflandırılması ve belgelendirilmesi”</w:t>
      </w:r>
    </w:p>
    <w:p w:rsidR="00697CF5" w:rsidRDefault="00FF45A3">
      <w:pPr>
        <w:pStyle w:val="ListeParagraf"/>
        <w:numPr>
          <w:ilvl w:val="0"/>
          <w:numId w:val="1"/>
        </w:numPr>
        <w:spacing w:before="240" w:after="240"/>
        <w:ind w:left="567" w:hanging="425"/>
      </w:pPr>
      <w:r>
        <w:t>TS EN 13018 “Tahribatsız muayene – Gözle muayene – Genel kurallar”</w:t>
      </w:r>
    </w:p>
    <w:p w:rsidR="00697CF5" w:rsidRDefault="00FF45A3">
      <w:pPr>
        <w:pStyle w:val="ListeParagraf"/>
        <w:numPr>
          <w:ilvl w:val="0"/>
          <w:numId w:val="1"/>
        </w:numPr>
        <w:spacing w:before="240" w:after="240"/>
        <w:ind w:left="567" w:hanging="425"/>
      </w:pPr>
      <w:r>
        <w:t>TS ISO 11971 “Çelik ve Demir dökümler- Yüzey kalkanı görsel olarak incelemeler”</w:t>
      </w:r>
    </w:p>
    <w:p w:rsidR="00697CF5" w:rsidRDefault="00FF45A3">
      <w:pPr>
        <w:pStyle w:val="ListeParagraf"/>
        <w:numPr>
          <w:ilvl w:val="0"/>
          <w:numId w:val="1"/>
        </w:numPr>
        <w:spacing w:before="240" w:after="240"/>
        <w:ind w:left="567" w:hanging="425"/>
      </w:pPr>
      <w:r>
        <w:t>TS EN ISO 17637 “Ergitme Kaynaklarının Tahribatsız Muayenesi – Ergitme kaynaklı birleştirmelerin gözle muayene”</w:t>
      </w:r>
    </w:p>
    <w:p w:rsidR="00697CF5" w:rsidRDefault="00FF45A3">
      <w:pPr>
        <w:pStyle w:val="ListeParagraf"/>
        <w:numPr>
          <w:ilvl w:val="0"/>
          <w:numId w:val="1"/>
        </w:numPr>
        <w:spacing w:before="240" w:after="240"/>
        <w:ind w:left="567" w:hanging="425"/>
      </w:pPr>
      <w:r>
        <w:t>TS EN 13927 “Tahribatsız muayene – Gözle muayene – Teçhizat”</w:t>
      </w:r>
    </w:p>
    <w:p w:rsidR="00697CF5" w:rsidRDefault="00FF45A3">
      <w:pPr>
        <w:pStyle w:val="ListeParagraf"/>
        <w:numPr>
          <w:ilvl w:val="0"/>
          <w:numId w:val="1"/>
        </w:numPr>
        <w:spacing w:before="240" w:after="240"/>
        <w:ind w:left="567" w:hanging="425"/>
      </w:pPr>
      <w:r>
        <w:t xml:space="preserve">TS EN 1370 “Döküm-Yüzey Pürüzlülüğünün </w:t>
      </w:r>
      <w:proofErr w:type="spellStart"/>
      <w:r>
        <w:t>Komporatörlerle</w:t>
      </w:r>
      <w:proofErr w:type="spellEnd"/>
      <w:r>
        <w:t xml:space="preserve"> Muayenesi”</w:t>
      </w:r>
    </w:p>
    <w:p w:rsidR="00697CF5" w:rsidRDefault="00FF45A3">
      <w:pPr>
        <w:pStyle w:val="ListeParagraf"/>
        <w:numPr>
          <w:ilvl w:val="0"/>
          <w:numId w:val="1"/>
        </w:numPr>
        <w:spacing w:before="240" w:after="240"/>
        <w:ind w:left="567" w:hanging="425"/>
      </w:pPr>
      <w:r>
        <w:t xml:space="preserve">TS EN 10163-1 “Sıcak haddelenmiş çelik levhalar, geniş yassılar ve profillerin yüzey teslim şartları- Bölüm </w:t>
      </w:r>
      <w:proofErr w:type="gramStart"/>
      <w:r>
        <w:t>1:Genel</w:t>
      </w:r>
      <w:proofErr w:type="gramEnd"/>
      <w:r>
        <w:t xml:space="preserve"> Özellikler”</w:t>
      </w:r>
    </w:p>
    <w:p w:rsidR="00697CF5" w:rsidRDefault="00FF45A3">
      <w:pPr>
        <w:pStyle w:val="ListeParagraf"/>
        <w:numPr>
          <w:ilvl w:val="0"/>
          <w:numId w:val="1"/>
        </w:numPr>
        <w:spacing w:before="240" w:after="240"/>
        <w:ind w:left="567" w:hanging="425"/>
      </w:pPr>
      <w:r>
        <w:t xml:space="preserve">TS EN 10163-2 “Çelik yassı mamuller-Sıcak haddelenmiş levha, geniş yassılar ve profiller için teslim şartları-Bölüm </w:t>
      </w:r>
      <w:proofErr w:type="gramStart"/>
      <w:r>
        <w:t>2:Levha</w:t>
      </w:r>
      <w:proofErr w:type="gramEnd"/>
      <w:r>
        <w:t xml:space="preserve"> ve geniş yassılar”</w:t>
      </w:r>
    </w:p>
    <w:p w:rsidR="00697CF5" w:rsidRDefault="00FF45A3">
      <w:pPr>
        <w:pStyle w:val="ListeParagraf"/>
        <w:numPr>
          <w:ilvl w:val="0"/>
          <w:numId w:val="1"/>
        </w:numPr>
        <w:spacing w:before="240" w:after="240"/>
        <w:ind w:left="567" w:hanging="425"/>
      </w:pPr>
      <w:r>
        <w:t>TS EN 10163-3 “Çelik yassı mamuller-Sıcak haddelenmiş levha, geniş yassılar ve profiller için teslim şartları bölüm 3: Profiller”</w:t>
      </w:r>
    </w:p>
    <w:p w:rsidR="00697CF5" w:rsidRDefault="00FF45A3">
      <w:pPr>
        <w:pStyle w:val="ListeParagraf"/>
        <w:numPr>
          <w:ilvl w:val="0"/>
          <w:numId w:val="1"/>
        </w:numPr>
        <w:spacing w:before="240" w:after="240"/>
        <w:ind w:left="567" w:hanging="425"/>
      </w:pPr>
      <w:r>
        <w:t>TS EN 10029 “Sıcak haddelenmiş 3 mm veya daha kalın çelik levhalar -Ölçü ve şekil toleransları”</w:t>
      </w:r>
    </w:p>
    <w:p w:rsidR="00697CF5" w:rsidRDefault="00FF45A3">
      <w:pPr>
        <w:pStyle w:val="ListeParagraf"/>
        <w:numPr>
          <w:ilvl w:val="0"/>
          <w:numId w:val="1"/>
        </w:numPr>
        <w:spacing w:before="240" w:after="240"/>
        <w:ind w:left="567" w:hanging="425"/>
      </w:pPr>
      <w:r>
        <w:t xml:space="preserve">TS EN 1330-10 “Tahribatsız </w:t>
      </w:r>
      <w:proofErr w:type="gramStart"/>
      <w:r>
        <w:t>muayene -</w:t>
      </w:r>
      <w:proofErr w:type="gramEnd"/>
      <w:r>
        <w:t xml:space="preserve"> Terminoloji - bölüm 10: Gözle muayenede kullanılan terimler”</w:t>
      </w:r>
    </w:p>
    <w:p w:rsidR="00697CF5" w:rsidRDefault="00FF45A3">
      <w:pPr>
        <w:pStyle w:val="ListeParagraf"/>
        <w:numPr>
          <w:ilvl w:val="0"/>
          <w:numId w:val="1"/>
        </w:numPr>
        <w:spacing w:before="240" w:after="240"/>
        <w:ind w:left="567" w:hanging="425"/>
      </w:pPr>
      <w:r>
        <w:t>TS 10840 EN ISO 8785 “Geometrik mamul özellikleri (</w:t>
      </w:r>
      <w:proofErr w:type="spellStart"/>
      <w:r>
        <w:t>gmö</w:t>
      </w:r>
      <w:proofErr w:type="spellEnd"/>
      <w:proofErr w:type="gramStart"/>
      <w:r>
        <w:t>) -</w:t>
      </w:r>
      <w:proofErr w:type="gramEnd"/>
      <w:r>
        <w:t xml:space="preserve"> Yüzey kusurları - Terimler, tarifler ve parametreler”</w:t>
      </w:r>
    </w:p>
    <w:p w:rsidR="00697CF5" w:rsidRDefault="00FF45A3">
      <w:pPr>
        <w:pStyle w:val="ListeParagraf"/>
        <w:numPr>
          <w:ilvl w:val="0"/>
          <w:numId w:val="1"/>
        </w:numPr>
        <w:spacing w:before="240" w:after="240"/>
        <w:ind w:left="567" w:hanging="425"/>
      </w:pPr>
      <w:r>
        <w:t xml:space="preserve">TS ISO/IEC 27001 "Bilgi Güvenliği, Siber Güvenlik ve Gizlilik </w:t>
      </w:r>
      <w:proofErr w:type="gramStart"/>
      <w:r>
        <w:t>Koruması -</w:t>
      </w:r>
      <w:proofErr w:type="gramEnd"/>
      <w:r>
        <w:t xml:space="preserve"> Bilgi Güvenliği Yönetim Sistemleri - Gereksinimler"</w:t>
      </w:r>
    </w:p>
    <w:p w:rsidR="00697CF5" w:rsidRDefault="00FF45A3">
      <w:pPr>
        <w:pStyle w:val="ListeParagraf"/>
        <w:numPr>
          <w:ilvl w:val="0"/>
          <w:numId w:val="1"/>
        </w:numPr>
        <w:spacing w:before="240" w:after="240"/>
        <w:ind w:left="567" w:hanging="425"/>
      </w:pPr>
      <w:r>
        <w:t xml:space="preserve">ISO 19959 “Çelikler, nikel alaşımları ve kobalt alaşımları hassas </w:t>
      </w:r>
      <w:proofErr w:type="gramStart"/>
      <w:r>
        <w:t>dökümleri -</w:t>
      </w:r>
      <w:proofErr w:type="gramEnd"/>
      <w:r>
        <w:t xml:space="preserve"> Yüzey kalitesinin görsel testi”</w:t>
      </w:r>
    </w:p>
    <w:p w:rsidR="00697CF5" w:rsidRDefault="00FF45A3">
      <w:pPr>
        <w:pStyle w:val="ListeParagraf"/>
        <w:numPr>
          <w:ilvl w:val="0"/>
          <w:numId w:val="1"/>
        </w:numPr>
        <w:spacing w:before="240" w:after="240"/>
        <w:ind w:left="567" w:hanging="425"/>
      </w:pPr>
      <w:r>
        <w:t>TS EN ISO 5817 “</w:t>
      </w:r>
      <w:proofErr w:type="gramStart"/>
      <w:r>
        <w:t>Kaynak -</w:t>
      </w:r>
      <w:proofErr w:type="gramEnd"/>
      <w:r>
        <w:t xml:space="preserve"> Çelik, nikel, titanyum ve bunların alaşımlarında ergitme kaynaklı (demet kaynağı hariç) birleştirmeler - Kusurlar için kalite seviyeleri”</w:t>
      </w:r>
    </w:p>
    <w:p w:rsidR="00697CF5" w:rsidRDefault="00FF45A3">
      <w:pPr>
        <w:pStyle w:val="ListeParagraf"/>
        <w:numPr>
          <w:ilvl w:val="0"/>
          <w:numId w:val="1"/>
        </w:numPr>
        <w:spacing w:before="240" w:after="240"/>
        <w:ind w:left="567" w:hanging="425"/>
      </w:pPr>
      <w:r>
        <w:t>TS EN ISO 10042 “</w:t>
      </w:r>
      <w:proofErr w:type="gramStart"/>
      <w:r>
        <w:t>Kaynak -</w:t>
      </w:r>
      <w:proofErr w:type="gramEnd"/>
      <w:r>
        <w:t xml:space="preserve"> </w:t>
      </w:r>
      <w:proofErr w:type="spellStart"/>
      <w:r>
        <w:t>Aluminyum</w:t>
      </w:r>
      <w:proofErr w:type="spellEnd"/>
      <w:r>
        <w:t xml:space="preserve"> ve alaşımlarında ark kaynaklı birleştirmeler - </w:t>
      </w:r>
      <w:proofErr w:type="spellStart"/>
      <w:r>
        <w:t>Düzgünsüzlükler</w:t>
      </w:r>
      <w:proofErr w:type="spellEnd"/>
      <w:r>
        <w:t xml:space="preserve"> için kalite seviyeleri”</w:t>
      </w:r>
    </w:p>
    <w:p w:rsidR="00697CF5" w:rsidRDefault="00FF45A3">
      <w:pPr>
        <w:pStyle w:val="ListeParagraf"/>
        <w:numPr>
          <w:ilvl w:val="0"/>
          <w:numId w:val="1"/>
        </w:numPr>
        <w:spacing w:before="240" w:after="240"/>
        <w:ind w:left="567" w:hanging="425"/>
      </w:pPr>
      <w:r>
        <w:t>PNAE G-7-025 “Nükleer santraller için çelik dökümler. Kontrol Kuralları”</w:t>
      </w:r>
    </w:p>
    <w:p w:rsidR="00697CF5" w:rsidRDefault="00FF45A3">
      <w:pPr>
        <w:pStyle w:val="ListeParagraf"/>
        <w:numPr>
          <w:ilvl w:val="0"/>
          <w:numId w:val="1"/>
        </w:numPr>
        <w:spacing w:before="240" w:after="240"/>
        <w:ind w:left="567" w:hanging="425"/>
      </w:pPr>
      <w:r>
        <w:t>PNAE G-7-016 “Ana Malzemelerin (Yarı Mamuller), Kaynak Bağlantılarının ve Nükleer Güç Tesisatı Ekipman ve Borularının Kaynak Kaplamalarının Birleşik Test Yöntemleri. Görsel Muayene ve Ölçme”</w:t>
      </w:r>
    </w:p>
    <w:p w:rsidR="00697CF5" w:rsidRDefault="00FF45A3">
      <w:pPr>
        <w:pStyle w:val="ListeParagraf"/>
        <w:numPr>
          <w:ilvl w:val="0"/>
          <w:numId w:val="1"/>
        </w:numPr>
        <w:spacing w:before="240" w:after="240"/>
        <w:ind w:left="567" w:hanging="425"/>
      </w:pPr>
      <w:r>
        <w:t>PNAE G-7-010 “Nükleer Güç Tesislerinin Teçhizatı ve Boru Tesisatı Kaynak Bağlantıları ve Kaynak Kaplamaları Denetim Kuralları”</w:t>
      </w:r>
    </w:p>
    <w:p w:rsidR="00697CF5" w:rsidRDefault="00FF45A3">
      <w:pPr>
        <w:pStyle w:val="ListeParagraf"/>
        <w:numPr>
          <w:ilvl w:val="0"/>
          <w:numId w:val="1"/>
        </w:numPr>
        <w:spacing w:before="240" w:after="240"/>
        <w:ind w:left="567" w:hanging="425"/>
      </w:pPr>
      <w:r>
        <w:t>NP 105 “Atom enerjisi kullanımı alanında “imalat ve montaj sırasında nükleer güç tesislerinin ekipman ve boru hatlarının metal kontrolüne ilişkin düzenlemeler”</w:t>
      </w:r>
    </w:p>
    <w:p w:rsidR="00697CF5" w:rsidRDefault="00FF45A3">
      <w:pPr>
        <w:pStyle w:val="ListeParagraf"/>
        <w:numPr>
          <w:ilvl w:val="0"/>
          <w:numId w:val="1"/>
        </w:numPr>
        <w:spacing w:before="240" w:after="240"/>
        <w:ind w:left="567" w:hanging="425"/>
      </w:pPr>
      <w:r>
        <w:t>GOST R 50.05.11 “Nükleer enerji kullanımı için uygunluk değerlendirme sistemi. Metalin tahribatsız ve tahribatlı testlerinde personel. Gereklilikler ve yeterlilik prosedürü”</w:t>
      </w:r>
    </w:p>
    <w:p w:rsidR="00697CF5" w:rsidRDefault="00FF45A3">
      <w:pPr>
        <w:pStyle w:val="ListeParagraf"/>
        <w:numPr>
          <w:ilvl w:val="0"/>
          <w:numId w:val="1"/>
        </w:numPr>
        <w:spacing w:before="240" w:after="240"/>
        <w:ind w:left="567" w:hanging="425"/>
      </w:pPr>
      <w:r>
        <w:t>GOST R 50.05.08 “Nükleer enerji kullanımı için uygunluk değerlendirme sistemi. Kontrol şeklinde uygunluk değerlendirmesi. Birleştirilmiş yöntemler. Görsel ve ölçüm kontrolü”</w:t>
      </w:r>
    </w:p>
    <w:p w:rsidR="00697CF5" w:rsidRDefault="00FF45A3">
      <w:pPr>
        <w:pStyle w:val="ListeParagraf"/>
        <w:numPr>
          <w:ilvl w:val="0"/>
          <w:numId w:val="1"/>
        </w:numPr>
        <w:spacing w:before="240" w:after="240"/>
        <w:ind w:left="567" w:hanging="425"/>
      </w:pPr>
      <w:r>
        <w:t>SNT-TC-1A “Tahribatsız Muayenede Personel Yeterliliği ve Belgelendirmesi”</w:t>
      </w:r>
    </w:p>
    <w:p w:rsidR="00697CF5" w:rsidRDefault="00FF45A3">
      <w:pPr>
        <w:pStyle w:val="ListeParagraf"/>
        <w:numPr>
          <w:ilvl w:val="0"/>
          <w:numId w:val="1"/>
        </w:numPr>
        <w:spacing w:before="240" w:after="240"/>
        <w:ind w:left="567" w:hanging="425"/>
      </w:pPr>
      <w:r>
        <w:t>ASME BPVC Bölüm V “Tahribatsız Muayene”</w:t>
      </w:r>
    </w:p>
    <w:p w:rsidR="00697CF5" w:rsidRDefault="00FF45A3">
      <w:pPr>
        <w:pStyle w:val="ListeParagraf"/>
        <w:numPr>
          <w:ilvl w:val="0"/>
          <w:numId w:val="1"/>
        </w:numPr>
        <w:spacing w:before="240" w:after="240"/>
        <w:ind w:left="567" w:hanging="425"/>
      </w:pPr>
      <w:r>
        <w:t>ASME BPVC Bölüm III “Nükleer Tesis Bileşenlerinin Yapımına İlişkin Kurallar-Altbölüm NCA-Bölüm 1 ve Bölüm 2 için Genel Gereklilikler”</w:t>
      </w:r>
    </w:p>
    <w:p w:rsidR="00697CF5" w:rsidRDefault="00FF45A3">
      <w:pPr>
        <w:pStyle w:val="ListeParagraf"/>
        <w:numPr>
          <w:ilvl w:val="0"/>
          <w:numId w:val="1"/>
        </w:numPr>
        <w:spacing w:before="240" w:after="240"/>
        <w:ind w:left="567" w:hanging="425"/>
      </w:pPr>
      <w:r>
        <w:t>ASME BPVC Bölüm II “Malzemeler-Bölüm A-Demir Malzemelerin Özellikleri (2 Cilt)”</w:t>
      </w:r>
    </w:p>
    <w:p w:rsidR="00697CF5" w:rsidRDefault="00FF45A3">
      <w:pPr>
        <w:pStyle w:val="ListeParagraf"/>
        <w:numPr>
          <w:ilvl w:val="0"/>
          <w:numId w:val="1"/>
        </w:numPr>
        <w:spacing w:before="240" w:after="240"/>
        <w:ind w:left="567" w:hanging="425"/>
      </w:pPr>
      <w:r>
        <w:t>ASME BPVC Bölüm VIII “Basınçlı Kapların Yapım Kuralları Bölüm 1”</w:t>
      </w:r>
    </w:p>
    <w:p w:rsidR="00697CF5" w:rsidRDefault="00FF45A3">
      <w:pPr>
        <w:pStyle w:val="ListeParagraf"/>
        <w:numPr>
          <w:ilvl w:val="0"/>
          <w:numId w:val="1"/>
        </w:numPr>
        <w:spacing w:before="240" w:after="240"/>
        <w:ind w:left="567" w:hanging="425"/>
      </w:pPr>
      <w:r>
        <w:t xml:space="preserve">ASME BPVC Bölüm IX “Kaynak, Lehimleme ve Birleştirme Prosedürleri; </w:t>
      </w:r>
      <w:proofErr w:type="gramStart"/>
      <w:r>
        <w:t>Kaynakçılar;</w:t>
      </w:r>
      <w:proofErr w:type="gramEnd"/>
      <w:r>
        <w:t xml:space="preserve"> </w:t>
      </w:r>
      <w:proofErr w:type="spellStart"/>
      <w:r>
        <w:t>Lehimleyiciler</w:t>
      </w:r>
      <w:proofErr w:type="spellEnd"/>
      <w:r>
        <w:t xml:space="preserve"> ve Kaynak, Lehimleme ve Birleştirme Operatörleri için Yeterlilik Standardı”</w:t>
      </w:r>
    </w:p>
    <w:sectPr w:rsidR="00697CF5" w:rsidSect="00F2267A">
      <w:headerReference w:type="even" r:id="rId8"/>
      <w:headerReference w:type="default" r:id="rId9"/>
      <w:headerReference w:type="first" r:id="rId10"/>
      <w:pgSz w:w="11906" w:h="16838"/>
      <w:pgMar w:top="851" w:right="1417" w:bottom="567"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083" w:rsidRDefault="00864083">
      <w:r>
        <w:separator/>
      </w:r>
    </w:p>
  </w:endnote>
  <w:endnote w:type="continuationSeparator" w:id="0">
    <w:p w:rsidR="00864083" w:rsidRDefault="0086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083" w:rsidRDefault="00864083">
      <w:r>
        <w:separator/>
      </w:r>
    </w:p>
  </w:footnote>
  <w:footnote w:type="continuationSeparator" w:id="0">
    <w:p w:rsidR="00864083" w:rsidRDefault="0086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CF5" w:rsidRDefault="00697C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CF5" w:rsidRDefault="00697C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CF5" w:rsidRDefault="00697C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18B"/>
    <w:multiLevelType w:val="multilevel"/>
    <w:tmpl w:val="5A96B0DE"/>
    <w:lvl w:ilvl="0">
      <w:start w:val="1"/>
      <w:numFmt w:val="upperRoman"/>
      <w:pStyle w:val="Balk2"/>
      <w:lvlText w:val="%1."/>
      <w:lvlJc w:val="righ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B695DC8"/>
    <w:multiLevelType w:val="multilevel"/>
    <w:tmpl w:val="F7DA01F8"/>
    <w:lvl w:ilvl="0">
      <w:start w:val="1"/>
      <w:numFmt w:val="bullet"/>
      <w:lvlText w:val=""/>
      <w:lvlJc w:val="left"/>
      <w:pPr>
        <w:tabs>
          <w:tab w:val="num" w:pos="0"/>
        </w:tabs>
        <w:ind w:left="357" w:firstLine="363"/>
      </w:pPr>
      <w:rPr>
        <w:rFonts w:ascii="Symbol" w:hAnsi="Symbol" w:cs="Symbol" w:hint="default"/>
        <w:b w:val="0"/>
      </w:rPr>
    </w:lvl>
    <w:lvl w:ilvl="1">
      <w:start w:val="1"/>
      <w:numFmt w:val="bullet"/>
      <w:suff w:val="space"/>
      <w:lvlText w:val=""/>
      <w:lvlJc w:val="left"/>
      <w:pPr>
        <w:tabs>
          <w:tab w:val="num" w:pos="0"/>
        </w:tabs>
        <w:ind w:left="1788" w:hanging="360"/>
      </w:pPr>
      <w:rPr>
        <w:rFonts w:ascii="Symbol" w:hAnsi="Symbol" w:cs="Symbol" w:hint="default"/>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1FF94BB2"/>
    <w:multiLevelType w:val="multilevel"/>
    <w:tmpl w:val="69D478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B7D7807"/>
    <w:multiLevelType w:val="multilevel"/>
    <w:tmpl w:val="FC7EFCD4"/>
    <w:lvl w:ilvl="0">
      <w:start w:val="1"/>
      <w:numFmt w:val="decimal"/>
      <w:lvlText w:val="%1."/>
      <w:lvlJc w:val="left"/>
      <w:pPr>
        <w:tabs>
          <w:tab w:val="num" w:pos="0"/>
        </w:tabs>
        <w:ind w:left="1429" w:hanging="360"/>
      </w:pPr>
      <w:rPr>
        <w:b/>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6BF603E8"/>
    <w:multiLevelType w:val="multilevel"/>
    <w:tmpl w:val="33D4DA7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7D213E65"/>
    <w:multiLevelType w:val="multilevel"/>
    <w:tmpl w:val="E5B05150"/>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 w15:restartNumberingAfterBreak="0">
    <w:nsid w:val="7E235A3F"/>
    <w:multiLevelType w:val="multilevel"/>
    <w:tmpl w:val="C85AB26A"/>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F5"/>
    <w:rsid w:val="000D052E"/>
    <w:rsid w:val="001255C9"/>
    <w:rsid w:val="001259B9"/>
    <w:rsid w:val="0026266B"/>
    <w:rsid w:val="00300CE0"/>
    <w:rsid w:val="00514888"/>
    <w:rsid w:val="0062555D"/>
    <w:rsid w:val="00697CF5"/>
    <w:rsid w:val="00864083"/>
    <w:rsid w:val="009C1EED"/>
    <w:rsid w:val="009F3B32"/>
    <w:rsid w:val="00A22DAC"/>
    <w:rsid w:val="00B37165"/>
    <w:rsid w:val="00B8189B"/>
    <w:rsid w:val="00C85769"/>
    <w:rsid w:val="00D01E34"/>
    <w:rsid w:val="00DF5445"/>
    <w:rsid w:val="00F2267A"/>
    <w:rsid w:val="00FF45A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4C14"/>
  <w15:docId w15:val="{D21E7D69-AC74-4907-97C0-60CDAF32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E69"/>
    <w:pPr>
      <w:ind w:firstLine="567"/>
      <w:jc w:val="both"/>
    </w:pPr>
    <w:rPr>
      <w:sz w:val="24"/>
      <w:szCs w:val="24"/>
    </w:rPr>
  </w:style>
  <w:style w:type="paragraph" w:styleId="Balk1">
    <w:name w:val="heading 1"/>
    <w:basedOn w:val="Normal"/>
    <w:next w:val="Normal"/>
    <w:qFormat/>
    <w:rsid w:val="008F1EE3"/>
    <w:pPr>
      <w:keepNext/>
      <w:ind w:firstLine="0"/>
      <w:jc w:val="center"/>
      <w:outlineLvl w:val="0"/>
    </w:pPr>
    <w:rPr>
      <w:rFonts w:cs="Arial"/>
      <w:b/>
      <w:bCs/>
      <w:kern w:val="2"/>
      <w:szCs w:val="32"/>
    </w:rPr>
  </w:style>
  <w:style w:type="paragraph" w:styleId="Balk2">
    <w:name w:val="heading 2"/>
    <w:basedOn w:val="Normal"/>
    <w:next w:val="Normal"/>
    <w:link w:val="Balk2Char"/>
    <w:qFormat/>
    <w:rsid w:val="00A92A34"/>
    <w:pPr>
      <w:keepNext/>
      <w:numPr>
        <w:numId w:val="5"/>
      </w:numPr>
      <w:spacing w:line="360" w:lineRule="auto"/>
      <w:outlineLvl w:val="1"/>
    </w:pPr>
    <w:rPr>
      <w:rFonts w:cs="Arial"/>
      <w:b/>
      <w:bCs/>
      <w:iCs/>
      <w:szCs w:val="28"/>
    </w:rPr>
  </w:style>
  <w:style w:type="paragraph" w:styleId="Balk3">
    <w:name w:val="heading 3"/>
    <w:basedOn w:val="Normal"/>
    <w:next w:val="Normal"/>
    <w:qFormat/>
    <w:rsid w:val="00C13935"/>
    <w:pPr>
      <w:keepNext/>
      <w:spacing w:before="240" w:after="60"/>
      <w:outlineLvl w:val="2"/>
    </w:pPr>
    <w:rPr>
      <w:rFonts w:cs="Arial"/>
      <w:b/>
      <w:bCs/>
      <w:szCs w:val="26"/>
    </w:rPr>
  </w:style>
  <w:style w:type="paragraph" w:styleId="Balk4">
    <w:name w:val="heading 4"/>
    <w:basedOn w:val="Normal"/>
    <w:next w:val="Normal"/>
    <w:link w:val="Balk4Char"/>
    <w:uiPriority w:val="9"/>
    <w:unhideWhenUsed/>
    <w:qFormat/>
    <w:rsid w:val="00584AB1"/>
    <w:pPr>
      <w:keepNext/>
      <w:keepLines/>
      <w:spacing w:before="40"/>
      <w:outlineLvl w:val="3"/>
    </w:pPr>
    <w:rPr>
      <w:rFonts w:eastAsiaTheme="majorEastAsia"/>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qFormat/>
    <w:rsid w:val="00A92A34"/>
    <w:rPr>
      <w:rFonts w:cs="Arial"/>
      <w:b/>
      <w:bCs/>
      <w:iCs/>
      <w:sz w:val="24"/>
      <w:szCs w:val="28"/>
    </w:rPr>
  </w:style>
  <w:style w:type="character" w:customStyle="1" w:styleId="KonuBalChar">
    <w:name w:val="Konu Başlığı Char"/>
    <w:basedOn w:val="VarsaylanParagrafYazTipi"/>
    <w:link w:val="KonuBal"/>
    <w:uiPriority w:val="10"/>
    <w:qFormat/>
    <w:rsid w:val="008E7A92"/>
    <w:rPr>
      <w:rFonts w:cs="Arial"/>
      <w:b/>
      <w:bCs/>
      <w:kern w:val="2"/>
      <w:sz w:val="32"/>
      <w:szCs w:val="32"/>
    </w:rPr>
  </w:style>
  <w:style w:type="character" w:customStyle="1" w:styleId="ListeParagrafChar">
    <w:name w:val="Liste Paragraf Char"/>
    <w:basedOn w:val="VarsaylanParagrafYazTipi"/>
    <w:link w:val="ListeParagraf"/>
    <w:uiPriority w:val="34"/>
    <w:qFormat/>
    <w:rsid w:val="008E7A92"/>
    <w:rPr>
      <w:sz w:val="24"/>
      <w:szCs w:val="24"/>
    </w:rPr>
  </w:style>
  <w:style w:type="character" w:customStyle="1" w:styleId="AklamaMetniChar">
    <w:name w:val="Açıklama Metni Char"/>
    <w:basedOn w:val="VarsaylanParagrafYazTipi"/>
    <w:link w:val="AklamaMetni"/>
    <w:qFormat/>
    <w:rsid w:val="008E7A92"/>
    <w:rPr>
      <w:rFonts w:eastAsiaTheme="minorHAnsi" w:cstheme="minorBidi"/>
      <w:lang w:eastAsia="en-US"/>
    </w:rPr>
  </w:style>
  <w:style w:type="character" w:styleId="AklamaBavurusu">
    <w:name w:val="annotation reference"/>
    <w:basedOn w:val="VarsaylanParagrafYazTipi"/>
    <w:unhideWhenUsed/>
    <w:qFormat/>
    <w:rsid w:val="008E7A92"/>
    <w:rPr>
      <w:sz w:val="16"/>
      <w:szCs w:val="16"/>
    </w:rPr>
  </w:style>
  <w:style w:type="character" w:customStyle="1" w:styleId="BalonMetniChar">
    <w:name w:val="Balon Metni Char"/>
    <w:basedOn w:val="VarsaylanParagrafYazTipi"/>
    <w:link w:val="BalonMetni"/>
    <w:uiPriority w:val="99"/>
    <w:semiHidden/>
    <w:qFormat/>
    <w:rsid w:val="008E7A92"/>
    <w:rPr>
      <w:rFonts w:ascii="Segoe UI" w:hAnsi="Segoe UI" w:cs="Segoe UI"/>
      <w:sz w:val="18"/>
      <w:szCs w:val="18"/>
    </w:rPr>
  </w:style>
  <w:style w:type="character" w:customStyle="1" w:styleId="AklamaKonusuChar">
    <w:name w:val="Açıklama Konusu Char"/>
    <w:basedOn w:val="AklamaMetniChar"/>
    <w:link w:val="AklamaKonusu"/>
    <w:uiPriority w:val="99"/>
    <w:semiHidden/>
    <w:qFormat/>
    <w:rsid w:val="009F7E3F"/>
    <w:rPr>
      <w:rFonts w:eastAsiaTheme="minorHAnsi" w:cstheme="minorBidi"/>
      <w:b/>
      <w:bCs/>
      <w:lang w:eastAsia="en-US"/>
    </w:rPr>
  </w:style>
  <w:style w:type="character" w:customStyle="1" w:styleId="GvdeMetniGirintisiChar">
    <w:name w:val="Gövde Metni Girintisi Char"/>
    <w:basedOn w:val="VarsaylanParagrafYazTipi"/>
    <w:link w:val="GvdeMetniGirintisi"/>
    <w:qFormat/>
    <w:rsid w:val="00905690"/>
    <w:rPr>
      <w:bCs/>
    </w:rPr>
  </w:style>
  <w:style w:type="character" w:customStyle="1" w:styleId="GvdeMetniChar">
    <w:name w:val="Gövde Metni Char"/>
    <w:basedOn w:val="VarsaylanParagrafYazTipi"/>
    <w:link w:val="GvdeMetni"/>
    <w:uiPriority w:val="99"/>
    <w:qFormat/>
    <w:rsid w:val="00DB7750"/>
    <w:rPr>
      <w:sz w:val="24"/>
      <w:szCs w:val="24"/>
    </w:rPr>
  </w:style>
  <w:style w:type="character" w:customStyle="1" w:styleId="stBilgiChar">
    <w:name w:val="Üst Bilgi Char"/>
    <w:basedOn w:val="VarsaylanParagrafYazTipi"/>
    <w:link w:val="stBilgi"/>
    <w:qFormat/>
    <w:rsid w:val="00DB7750"/>
    <w:rPr>
      <w:sz w:val="24"/>
      <w:szCs w:val="24"/>
    </w:rPr>
  </w:style>
  <w:style w:type="character" w:customStyle="1" w:styleId="GvdeMetniGirintisi3Char">
    <w:name w:val="Gövde Metni Girintisi 3 Char"/>
    <w:basedOn w:val="VarsaylanParagrafYazTipi"/>
    <w:link w:val="GvdeMetniGirintisi3"/>
    <w:uiPriority w:val="99"/>
    <w:semiHidden/>
    <w:qFormat/>
    <w:rsid w:val="00C65C7C"/>
    <w:rPr>
      <w:sz w:val="16"/>
      <w:szCs w:val="16"/>
    </w:rPr>
  </w:style>
  <w:style w:type="character" w:customStyle="1" w:styleId="FontStyle11">
    <w:name w:val="Font Style11"/>
    <w:uiPriority w:val="99"/>
    <w:qFormat/>
    <w:rsid w:val="00D95C27"/>
    <w:rPr>
      <w:rFonts w:ascii="Times New Roman" w:hAnsi="Times New Roman" w:cs="Times New Roman"/>
      <w:sz w:val="22"/>
      <w:szCs w:val="22"/>
    </w:rPr>
  </w:style>
  <w:style w:type="character" w:styleId="Gl">
    <w:name w:val="Strong"/>
    <w:qFormat/>
    <w:rsid w:val="00251FF9"/>
    <w:rPr>
      <w:b/>
      <w:bCs/>
    </w:rPr>
  </w:style>
  <w:style w:type="character" w:styleId="Kpr">
    <w:name w:val="Hyperlink"/>
    <w:basedOn w:val="VarsaylanParagrafYazTipi"/>
    <w:uiPriority w:val="99"/>
    <w:unhideWhenUsed/>
    <w:rsid w:val="0039260C"/>
    <w:rPr>
      <w:color w:val="0563C1" w:themeColor="hyperlink"/>
      <w:u w:val="single"/>
    </w:rPr>
  </w:style>
  <w:style w:type="character" w:styleId="zmlenmeyenBahsetme">
    <w:name w:val="Unresolved Mention"/>
    <w:basedOn w:val="VarsaylanParagrafYazTipi"/>
    <w:uiPriority w:val="99"/>
    <w:semiHidden/>
    <w:unhideWhenUsed/>
    <w:qFormat/>
    <w:rsid w:val="0039260C"/>
    <w:rPr>
      <w:color w:val="605E5C"/>
      <w:shd w:val="clear" w:color="auto" w:fill="E1DFDD"/>
    </w:rPr>
  </w:style>
  <w:style w:type="character" w:customStyle="1" w:styleId="Balk4Char">
    <w:name w:val="Başlık 4 Char"/>
    <w:basedOn w:val="VarsaylanParagrafYazTipi"/>
    <w:link w:val="Balk4"/>
    <w:uiPriority w:val="9"/>
    <w:qFormat/>
    <w:rsid w:val="00584AB1"/>
    <w:rPr>
      <w:rFonts w:eastAsiaTheme="majorEastAsia"/>
      <w:b/>
      <w:iCs/>
      <w:sz w:val="24"/>
      <w:szCs w:val="24"/>
    </w:rPr>
  </w:style>
  <w:style w:type="character" w:styleId="SatrNumaras">
    <w:name w:val="line number"/>
    <w:basedOn w:val="VarsaylanParagrafYazTipi"/>
    <w:uiPriority w:val="99"/>
    <w:semiHidden/>
    <w:unhideWhenUsed/>
    <w:rsid w:val="00525058"/>
  </w:style>
  <w:style w:type="paragraph" w:customStyle="1" w:styleId="Heading">
    <w:name w:val="Heading"/>
    <w:basedOn w:val="Normal"/>
    <w:next w:val="GvdeMetni"/>
    <w:qFormat/>
    <w:pPr>
      <w:keepNext/>
      <w:spacing w:before="240" w:after="120"/>
    </w:pPr>
    <w:rPr>
      <w:rFonts w:ascii="Carlito" w:eastAsia="Noto Sans SC Regular" w:hAnsi="Carlito" w:cs="Noto Sans"/>
      <w:sz w:val="28"/>
      <w:szCs w:val="28"/>
    </w:rPr>
  </w:style>
  <w:style w:type="paragraph" w:styleId="GvdeMetni">
    <w:name w:val="Body Text"/>
    <w:basedOn w:val="Normal"/>
    <w:link w:val="GvdeMetniChar"/>
    <w:uiPriority w:val="99"/>
    <w:unhideWhenUsed/>
    <w:rsid w:val="00DB7750"/>
    <w:pPr>
      <w:spacing w:after="120"/>
    </w:pPr>
  </w:style>
  <w:style w:type="paragraph" w:styleId="Liste">
    <w:name w:val="List"/>
    <w:basedOn w:val="GvdeMetni"/>
    <w:rPr>
      <w:rFonts w:cs="Noto Sans"/>
    </w:rPr>
  </w:style>
  <w:style w:type="paragraph" w:styleId="ResimYazs">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KonuBal">
    <w:name w:val="Title"/>
    <w:basedOn w:val="Normal"/>
    <w:next w:val="Normal"/>
    <w:link w:val="KonuBalChar"/>
    <w:uiPriority w:val="10"/>
    <w:qFormat/>
    <w:rsid w:val="00D21C5B"/>
    <w:pPr>
      <w:spacing w:before="120" w:after="240"/>
      <w:ind w:firstLine="0"/>
      <w:jc w:val="center"/>
      <w:outlineLvl w:val="0"/>
    </w:pPr>
    <w:rPr>
      <w:rFonts w:cs="Arial"/>
      <w:b/>
      <w:bCs/>
      <w:kern w:val="2"/>
      <w:sz w:val="32"/>
      <w:szCs w:val="32"/>
    </w:rPr>
  </w:style>
  <w:style w:type="paragraph" w:customStyle="1" w:styleId="HeaderandFooter">
    <w:name w:val="Header and Footer"/>
    <w:basedOn w:val="Normal"/>
    <w:qFormat/>
  </w:style>
  <w:style w:type="paragraph" w:styleId="stBilgi">
    <w:name w:val="header"/>
    <w:basedOn w:val="Normal"/>
    <w:link w:val="stBilgiChar"/>
    <w:rsid w:val="00310B65"/>
    <w:pPr>
      <w:tabs>
        <w:tab w:val="center" w:pos="4536"/>
        <w:tab w:val="right" w:pos="9072"/>
      </w:tabs>
    </w:pPr>
  </w:style>
  <w:style w:type="paragraph" w:styleId="AltBilgi">
    <w:name w:val="footer"/>
    <w:basedOn w:val="Normal"/>
    <w:rsid w:val="00310B65"/>
    <w:pPr>
      <w:tabs>
        <w:tab w:val="center" w:pos="4536"/>
        <w:tab w:val="right" w:pos="9072"/>
      </w:tabs>
    </w:pPr>
  </w:style>
  <w:style w:type="paragraph" w:styleId="ListeParagraf">
    <w:name w:val="List Paragraph"/>
    <w:basedOn w:val="Normal"/>
    <w:link w:val="ListeParagrafChar"/>
    <w:uiPriority w:val="34"/>
    <w:qFormat/>
    <w:rsid w:val="00A34C60"/>
    <w:pPr>
      <w:ind w:left="720"/>
      <w:contextualSpacing/>
    </w:pPr>
  </w:style>
  <w:style w:type="paragraph" w:styleId="AklamaMetni">
    <w:name w:val="annotation text"/>
    <w:basedOn w:val="Normal"/>
    <w:link w:val="AklamaMetniChar"/>
    <w:unhideWhenUsed/>
    <w:rsid w:val="008E7A92"/>
    <w:pPr>
      <w:spacing w:before="120"/>
    </w:pPr>
    <w:rPr>
      <w:rFonts w:eastAsiaTheme="minorHAnsi" w:cstheme="minorBidi"/>
      <w:sz w:val="20"/>
      <w:szCs w:val="20"/>
      <w:lang w:eastAsia="en-US"/>
    </w:rPr>
  </w:style>
  <w:style w:type="paragraph" w:styleId="BalonMetni">
    <w:name w:val="Balloon Text"/>
    <w:basedOn w:val="Normal"/>
    <w:link w:val="BalonMetniChar"/>
    <w:uiPriority w:val="99"/>
    <w:semiHidden/>
    <w:unhideWhenUsed/>
    <w:qFormat/>
    <w:rsid w:val="008E7A9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qFormat/>
    <w:rsid w:val="009F7E3F"/>
    <w:pPr>
      <w:spacing w:before="0"/>
    </w:pPr>
    <w:rPr>
      <w:rFonts w:eastAsia="Times New Roman" w:cs="Times New Roman"/>
      <w:b/>
      <w:bCs/>
      <w:lang w:eastAsia="tr-TR"/>
    </w:rPr>
  </w:style>
  <w:style w:type="paragraph" w:customStyle="1" w:styleId="western">
    <w:name w:val="western"/>
    <w:basedOn w:val="Normal"/>
    <w:qFormat/>
    <w:rsid w:val="00D807BD"/>
    <w:pPr>
      <w:spacing w:beforeAutospacing="1" w:after="144" w:line="288" w:lineRule="auto"/>
      <w:ind w:firstLine="562"/>
    </w:pPr>
    <w:rPr>
      <w:rFonts w:ascii="Calibri" w:hAnsi="Calibri"/>
      <w:color w:val="00000A"/>
      <w:sz w:val="22"/>
      <w:szCs w:val="22"/>
      <w:lang w:val="en-US" w:eastAsia="en-US"/>
    </w:rPr>
  </w:style>
  <w:style w:type="paragraph" w:customStyle="1" w:styleId="metin">
    <w:name w:val="metin"/>
    <w:basedOn w:val="Normal"/>
    <w:qFormat/>
    <w:rsid w:val="00CF54C2"/>
    <w:pPr>
      <w:spacing w:beforeAutospacing="1" w:afterAutospacing="1"/>
      <w:ind w:firstLine="0"/>
      <w:jc w:val="left"/>
    </w:pPr>
  </w:style>
  <w:style w:type="paragraph" w:styleId="GvdeMetniGirintisi">
    <w:name w:val="Body Text Indent"/>
    <w:basedOn w:val="Normal"/>
    <w:link w:val="GvdeMetniGirintisiChar"/>
    <w:rsid w:val="00905690"/>
    <w:pPr>
      <w:widowControl w:val="0"/>
      <w:ind w:left="45" w:firstLine="0"/>
    </w:pPr>
    <w:rPr>
      <w:bCs/>
      <w:sz w:val="20"/>
      <w:szCs w:val="20"/>
    </w:rPr>
  </w:style>
  <w:style w:type="paragraph" w:styleId="NormalWeb">
    <w:name w:val="Normal (Web)"/>
    <w:basedOn w:val="Normal"/>
    <w:qFormat/>
    <w:rsid w:val="00DB7750"/>
    <w:pPr>
      <w:spacing w:beforeAutospacing="1" w:afterAutospacing="1"/>
      <w:ind w:firstLine="0"/>
      <w:jc w:val="left"/>
    </w:pPr>
    <w:rPr>
      <w:rFonts w:ascii="Arial Unicode MS" w:eastAsia="Arial Unicode MS" w:hAnsi="Arial Unicode MS" w:cs="Arial Unicode MS"/>
      <w:sz w:val="20"/>
      <w:szCs w:val="20"/>
    </w:rPr>
  </w:style>
  <w:style w:type="paragraph" w:styleId="Dzeltme">
    <w:name w:val="Revision"/>
    <w:uiPriority w:val="99"/>
    <w:semiHidden/>
    <w:qFormat/>
    <w:rsid w:val="0006096E"/>
    <w:rPr>
      <w:sz w:val="24"/>
      <w:szCs w:val="24"/>
    </w:rPr>
  </w:style>
  <w:style w:type="paragraph" w:styleId="GvdeMetniGirintisi3">
    <w:name w:val="Body Text Indent 3"/>
    <w:basedOn w:val="Normal"/>
    <w:link w:val="GvdeMetniGirintisi3Char"/>
    <w:uiPriority w:val="99"/>
    <w:semiHidden/>
    <w:unhideWhenUsed/>
    <w:qFormat/>
    <w:rsid w:val="00C65C7C"/>
    <w:pPr>
      <w:spacing w:after="120"/>
      <w:ind w:left="283"/>
    </w:pPr>
    <w:rPr>
      <w:sz w:val="16"/>
      <w:szCs w:val="16"/>
    </w:rPr>
  </w:style>
  <w:style w:type="paragraph" w:customStyle="1" w:styleId="Default">
    <w:name w:val="Default"/>
    <w:qFormat/>
    <w:rsid w:val="00C65C7C"/>
    <w:rPr>
      <w:color w:val="000000"/>
      <w:sz w:val="24"/>
      <w:szCs w:val="24"/>
    </w:rPr>
  </w:style>
  <w:style w:type="paragraph" w:customStyle="1" w:styleId="Style6">
    <w:name w:val="Style6"/>
    <w:basedOn w:val="Normal"/>
    <w:uiPriority w:val="99"/>
    <w:qFormat/>
    <w:rsid w:val="00D95C27"/>
    <w:pPr>
      <w:widowControl w:val="0"/>
      <w:spacing w:line="336" w:lineRule="exact"/>
      <w:ind w:firstLine="576"/>
    </w:pPr>
  </w:style>
  <w:style w:type="paragraph" w:styleId="AralkYok">
    <w:name w:val="No Spacing"/>
    <w:uiPriority w:val="1"/>
    <w:qFormat/>
    <w:rsid w:val="00A7055E"/>
    <w:pPr>
      <w:ind w:firstLine="567"/>
      <w:jc w:val="both"/>
    </w:pPr>
    <w:rPr>
      <w:sz w:val="24"/>
      <w:szCs w:val="24"/>
    </w:rPr>
  </w:style>
  <w:style w:type="numbering" w:customStyle="1" w:styleId="Style1">
    <w:name w:val="Style1"/>
    <w:uiPriority w:val="99"/>
    <w:qFormat/>
    <w:rsid w:val="00C23668"/>
  </w:style>
  <w:style w:type="table" w:styleId="TabloKlavuzu">
    <w:name w:val="Table Grid"/>
    <w:basedOn w:val="NormalTablo"/>
    <w:uiPriority w:val="39"/>
    <w:rsid w:val="00DB77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2C67-F9CF-4E5E-8516-A1166426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2473</Words>
  <Characters>14098</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Nükleer Güç Santralları için Saha Onay Prosedürleri Yönetmeliği</vt:lpstr>
    </vt:vector>
  </TitlesOfParts>
  <Company>TAEK</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Nükleer Güç Santralları için Saha Onay Prosedürleri Yönetmeliği</dc:title>
  <dc:subject/>
  <dc:creator>Hande ŞENTÜRK</dc:creator>
  <dc:description/>
  <cp:lastModifiedBy>Emre Gürcan</cp:lastModifiedBy>
  <cp:revision>9</cp:revision>
  <cp:lastPrinted>2025-06-04T11:44:00Z</cp:lastPrinted>
  <dcterms:created xsi:type="dcterms:W3CDTF">2025-06-04T11:16:00Z</dcterms:created>
  <dcterms:modified xsi:type="dcterms:W3CDTF">2025-06-04T13:57:00Z</dcterms:modified>
  <dc:language>tr-TR</dc:language>
</cp:coreProperties>
</file>